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color w:val="000000"/>
          <w:sz w:val="20"/>
          <w:szCs w:val="20"/>
          <w:lang w:eastAsia="pl-PL"/>
        </w:rPr>
        <w:t>Ogłoszenie nr 544243-N-2020 z dnia 2020-05-27 r.</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jc w:val="center"/>
        <w:rPr>
          <w:rFonts w:ascii="Verdana" w:eastAsia="Times New Roman" w:hAnsi="Verdana" w:cs="Times New Roman"/>
          <w:b/>
          <w:bCs/>
          <w:color w:val="000000"/>
          <w:sz w:val="20"/>
          <w:szCs w:val="20"/>
          <w:lang w:eastAsia="pl-PL"/>
        </w:rPr>
      </w:pPr>
      <w:r w:rsidRPr="00E616DB">
        <w:rPr>
          <w:rFonts w:ascii="Verdana" w:eastAsia="Times New Roman" w:hAnsi="Verdana" w:cs="Times New Roman"/>
          <w:b/>
          <w:bCs/>
          <w:color w:val="000000"/>
          <w:sz w:val="20"/>
          <w:szCs w:val="20"/>
          <w:lang w:eastAsia="pl-PL"/>
        </w:rPr>
        <w:t>Komenda Wojewódzka Policji we Wrocławiu: Wykonywanie usługi przechowywania pojazdów zabezpieczonych przez Policję do dalszego postępowania procesowego na terenie podległym KPP w Bolesławcu, KPP w Dzierżoniowie, KPP w Górze, KPP w Kamiennej Górze, KPP w Lubaniu, KPP w Lwówku Śl., KPP w Miliczu, KPP w Oleśnicy, KPP w Oławie, KPP w Strzelinie, KPP w Polkowicach, KPP w Trzebnicy, KPP w Wołowie, KPP w Ząbkowicach Śl.</w:t>
      </w:r>
      <w:r w:rsidRPr="00E616DB">
        <w:rPr>
          <w:rFonts w:ascii="Verdana" w:eastAsia="Times New Roman" w:hAnsi="Verdana" w:cs="Times New Roman"/>
          <w:b/>
          <w:bCs/>
          <w:color w:val="000000"/>
          <w:sz w:val="20"/>
          <w:szCs w:val="20"/>
          <w:lang w:eastAsia="pl-PL"/>
        </w:rPr>
        <w:br/>
        <w:t>OGŁOSZENIE O ZAMÓWIENIU - Usługi</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Zamieszczanie ogłoszenia:</w:t>
      </w:r>
      <w:r w:rsidRPr="00E616DB">
        <w:rPr>
          <w:rFonts w:ascii="Verdana" w:eastAsia="Times New Roman" w:hAnsi="Verdana" w:cs="Times New Roman"/>
          <w:color w:val="000000"/>
          <w:sz w:val="20"/>
          <w:szCs w:val="20"/>
          <w:lang w:eastAsia="pl-PL"/>
        </w:rPr>
        <w:t> Zamieszczanie obowiązkowe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Ogłoszenie dotyczy:</w:t>
      </w:r>
      <w:r w:rsidRPr="00E616DB">
        <w:rPr>
          <w:rFonts w:ascii="Verdana" w:eastAsia="Times New Roman" w:hAnsi="Verdana" w:cs="Times New Roman"/>
          <w:color w:val="000000"/>
          <w:sz w:val="20"/>
          <w:szCs w:val="20"/>
          <w:lang w:eastAsia="pl-PL"/>
        </w:rPr>
        <w:t> Zamówienia publicznego</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Zamówienie dotyczy projektu lub programu współfinansowanego ze środków Unii Europejskiej</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Nazwa projektu lub programu</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E616DB">
        <w:rPr>
          <w:rFonts w:ascii="Verdana" w:eastAsia="Times New Roman" w:hAnsi="Verdana" w:cs="Times New Roman"/>
          <w:color w:val="000000"/>
          <w:sz w:val="20"/>
          <w:szCs w:val="20"/>
          <w:lang w:eastAsia="pl-PL"/>
        </w:rPr>
        <w:t>Pzp</w:t>
      </w:r>
      <w:proofErr w:type="spellEnd"/>
      <w:r w:rsidRPr="00E616DB">
        <w:rPr>
          <w:rFonts w:ascii="Verdana" w:eastAsia="Times New Roman" w:hAnsi="Verdana" w:cs="Times New Roman"/>
          <w:color w:val="000000"/>
          <w:sz w:val="20"/>
          <w:szCs w:val="20"/>
          <w:lang w:eastAsia="pl-PL"/>
        </w:rPr>
        <w:t>, nie mniejszy niż 30%, osób zatrudnionych przez zakłady pracy chronionej lub wykonawców albo ich jednostki (w %)</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b/>
          <w:bCs/>
          <w:color w:val="000000"/>
          <w:sz w:val="20"/>
          <w:szCs w:val="20"/>
          <w:lang w:eastAsia="pl-PL"/>
        </w:rPr>
      </w:pPr>
      <w:r w:rsidRPr="00E616DB">
        <w:rPr>
          <w:rFonts w:ascii="Verdana" w:eastAsia="Times New Roman" w:hAnsi="Verdana" w:cs="Times New Roman"/>
          <w:b/>
          <w:bCs/>
          <w:color w:val="000000"/>
          <w:sz w:val="20"/>
          <w:szCs w:val="20"/>
          <w:u w:val="single"/>
          <w:lang w:eastAsia="pl-PL"/>
        </w:rPr>
        <w:t>SEKCJA I: ZAMAWIAJĄCY</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Postępowanie przeprowadza centralny zamawiający</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Postępowanie przeprowadza podmiot, któremu zamawiający powierzył/powierzyli przeprowadzenie postępowania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Informacje na temat podmiotu któremu zamawiający powierzył/powierzyli prowadzenie postępowania: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Postępowanie jest przeprowadzane wspólnie przez zamawiających</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Postępowanie jest przeprowadzane wspólnie z zamawiającymi z innych państw członkowskich Unii Europejskiej</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Informacje dodatkowe: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 1) NAZWA I ADRES: </w:t>
      </w:r>
      <w:r w:rsidRPr="00E616DB">
        <w:rPr>
          <w:rFonts w:ascii="Verdana" w:eastAsia="Times New Roman" w:hAnsi="Verdana" w:cs="Times New Roman"/>
          <w:color w:val="000000"/>
          <w:sz w:val="20"/>
          <w:szCs w:val="20"/>
          <w:lang w:eastAsia="pl-PL"/>
        </w:rPr>
        <w:t>Komenda Wojewódzka Policji we Wrocławiu, krajowy numer identyfikacyjny 93015621600000, ul. Podwale  31-33 , 50-040  Wrocław, woj. dolnośląskie, państwo Polska, tel. +48713403716, e-mail eliza.sciborska@wr.policja.gov.pl, faks +48717824171.</w:t>
      </w:r>
      <w:r w:rsidRPr="00E616DB">
        <w:rPr>
          <w:rFonts w:ascii="Verdana" w:eastAsia="Times New Roman" w:hAnsi="Verdana" w:cs="Times New Roman"/>
          <w:color w:val="000000"/>
          <w:sz w:val="20"/>
          <w:szCs w:val="20"/>
          <w:lang w:eastAsia="pl-PL"/>
        </w:rPr>
        <w:br/>
        <w:t>Adres strony internetowej (URL): www.dolnoslaska.policja.gov.pl</w:t>
      </w:r>
      <w:r w:rsidRPr="00E616DB">
        <w:rPr>
          <w:rFonts w:ascii="Verdana" w:eastAsia="Times New Roman" w:hAnsi="Verdana" w:cs="Times New Roman"/>
          <w:color w:val="000000"/>
          <w:sz w:val="20"/>
          <w:szCs w:val="20"/>
          <w:lang w:eastAsia="pl-PL"/>
        </w:rPr>
        <w:br/>
        <w:t>Adres profilu nabywcy:</w:t>
      </w:r>
      <w:r w:rsidRPr="00E616DB">
        <w:rPr>
          <w:rFonts w:ascii="Verdana" w:eastAsia="Times New Roman" w:hAnsi="Verdana" w:cs="Times New Roman"/>
          <w:color w:val="000000"/>
          <w:sz w:val="20"/>
          <w:szCs w:val="20"/>
          <w:lang w:eastAsia="pl-PL"/>
        </w:rPr>
        <w:br/>
        <w:t>Adres strony internetowej pod którym można uzyskać dostęp do narzędzi i urządzeń lub formatów plików, które nie są ogólnie dostępne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 2) RODZAJ ZAMAWIAJĄCEGO: </w:t>
      </w:r>
      <w:r w:rsidRPr="00E616DB">
        <w:rPr>
          <w:rFonts w:ascii="Verdana" w:eastAsia="Times New Roman" w:hAnsi="Verdana" w:cs="Times New Roman"/>
          <w:color w:val="000000"/>
          <w:sz w:val="20"/>
          <w:szCs w:val="20"/>
          <w:lang w:eastAsia="pl-PL"/>
        </w:rPr>
        <w:t>Administracja rządowa terenowa</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I.3) WSPÓLNE UDZIELANIE ZAMÓWIENIA </w:t>
      </w:r>
      <w:r w:rsidRPr="00E616DB">
        <w:rPr>
          <w:rFonts w:ascii="Verdana" w:eastAsia="Times New Roman" w:hAnsi="Verdana" w:cs="Times New Roman"/>
          <w:b/>
          <w:bCs/>
          <w:i/>
          <w:iCs/>
          <w:color w:val="000000"/>
          <w:sz w:val="20"/>
          <w:szCs w:val="20"/>
          <w:lang w:eastAsia="pl-PL"/>
        </w:rPr>
        <w:t>(jeżeli dotyczy)</w:t>
      </w:r>
      <w:r w:rsidRPr="00E616DB">
        <w:rPr>
          <w:rFonts w:ascii="Verdana" w:eastAsia="Times New Roman" w:hAnsi="Verdana" w:cs="Times New Roman"/>
          <w:b/>
          <w:bCs/>
          <w:color w:val="000000"/>
          <w:sz w:val="20"/>
          <w:szCs w:val="20"/>
          <w:lang w:eastAsia="pl-PL"/>
        </w:rPr>
        <w:t>:</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I.4) KOMUNIKACJA: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Nieograniczony, pełny i bezpośredni dostęp do dokumentów z postępowania można uzyskać pod adresem (URL)</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Tak</w:t>
      </w:r>
      <w:r w:rsidRPr="00E616DB">
        <w:rPr>
          <w:rFonts w:ascii="Verdana" w:eastAsia="Times New Roman" w:hAnsi="Verdana" w:cs="Times New Roman"/>
          <w:color w:val="000000"/>
          <w:sz w:val="20"/>
          <w:szCs w:val="20"/>
          <w:lang w:eastAsia="pl-PL"/>
        </w:rPr>
        <w:br/>
        <w:t>www.dolnoslaska.policja.gov.pl</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Adres strony internetowej, na której zamieszczona będzie specyfikacja istotnych warunków zamówienia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lastRenderedPageBreak/>
        <w:t>Tak</w:t>
      </w:r>
      <w:r w:rsidRPr="00E616DB">
        <w:rPr>
          <w:rFonts w:ascii="Verdana" w:eastAsia="Times New Roman" w:hAnsi="Verdana" w:cs="Times New Roman"/>
          <w:color w:val="000000"/>
          <w:sz w:val="20"/>
          <w:szCs w:val="20"/>
          <w:lang w:eastAsia="pl-PL"/>
        </w:rPr>
        <w:br/>
        <w:t>www.dolnoslaska.policja.gov.pl</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Dostęp do dokumentów z postępowania jest ograniczony - więcej informacji można uzyskać pod adresem</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Oferty lub wnioski o dopuszczenie do udziału w postępowaniu należy przesyłać:</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Elektronicznie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r w:rsidRPr="00E616DB">
        <w:rPr>
          <w:rFonts w:ascii="Verdana" w:eastAsia="Times New Roman" w:hAnsi="Verdana" w:cs="Times New Roman"/>
          <w:color w:val="000000"/>
          <w:sz w:val="20"/>
          <w:szCs w:val="20"/>
          <w:lang w:eastAsia="pl-PL"/>
        </w:rPr>
        <w:br/>
        <w:t>adres</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Dopuszczone jest przesłanie ofert lub wniosków o dopuszczenie do udziału w postępowaniu w inny sposób:</w:t>
      </w:r>
      <w:r w:rsidRPr="00E616DB">
        <w:rPr>
          <w:rFonts w:ascii="Verdana" w:eastAsia="Times New Roman" w:hAnsi="Verdana" w:cs="Times New Roman"/>
          <w:color w:val="000000"/>
          <w:sz w:val="20"/>
          <w:szCs w:val="20"/>
          <w:lang w:eastAsia="pl-PL"/>
        </w:rPr>
        <w:br/>
        <w:t>Nie</w:t>
      </w:r>
      <w:r w:rsidRPr="00E616DB">
        <w:rPr>
          <w:rFonts w:ascii="Verdana" w:eastAsia="Times New Roman" w:hAnsi="Verdana" w:cs="Times New Roman"/>
          <w:color w:val="000000"/>
          <w:sz w:val="20"/>
          <w:szCs w:val="20"/>
          <w:lang w:eastAsia="pl-PL"/>
        </w:rPr>
        <w:br/>
        <w:t>Inny sposób:</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Wymagane jest przesłanie ofert lub wniosków o dopuszczenie do udziału w postępowaniu w inny sposób:</w:t>
      </w:r>
      <w:r w:rsidRPr="00E616DB">
        <w:rPr>
          <w:rFonts w:ascii="Verdana" w:eastAsia="Times New Roman" w:hAnsi="Verdana" w:cs="Times New Roman"/>
          <w:color w:val="000000"/>
          <w:sz w:val="20"/>
          <w:szCs w:val="20"/>
          <w:lang w:eastAsia="pl-PL"/>
        </w:rPr>
        <w:br/>
        <w:t>Tak</w:t>
      </w:r>
      <w:r w:rsidRPr="00E616DB">
        <w:rPr>
          <w:rFonts w:ascii="Verdana" w:eastAsia="Times New Roman" w:hAnsi="Verdana" w:cs="Times New Roman"/>
          <w:color w:val="000000"/>
          <w:sz w:val="20"/>
          <w:szCs w:val="20"/>
          <w:lang w:eastAsia="pl-PL"/>
        </w:rPr>
        <w:br/>
        <w:t>Inny sposób:</w:t>
      </w:r>
      <w:r w:rsidRPr="00E616DB">
        <w:rPr>
          <w:rFonts w:ascii="Verdana" w:eastAsia="Times New Roman" w:hAnsi="Verdana" w:cs="Times New Roman"/>
          <w:color w:val="000000"/>
          <w:sz w:val="20"/>
          <w:szCs w:val="20"/>
          <w:lang w:eastAsia="pl-PL"/>
        </w:rPr>
        <w:br/>
        <w:t>pisemnie, w postaci papierowej</w:t>
      </w:r>
      <w:r w:rsidRPr="00E616DB">
        <w:rPr>
          <w:rFonts w:ascii="Verdana" w:eastAsia="Times New Roman" w:hAnsi="Verdana" w:cs="Times New Roman"/>
          <w:color w:val="000000"/>
          <w:sz w:val="20"/>
          <w:szCs w:val="20"/>
          <w:lang w:eastAsia="pl-PL"/>
        </w:rPr>
        <w:br/>
        <w:t>Adres:</w:t>
      </w:r>
      <w:r w:rsidRPr="00E616DB">
        <w:rPr>
          <w:rFonts w:ascii="Verdana" w:eastAsia="Times New Roman" w:hAnsi="Verdana" w:cs="Times New Roman"/>
          <w:color w:val="000000"/>
          <w:sz w:val="20"/>
          <w:szCs w:val="20"/>
          <w:lang w:eastAsia="pl-PL"/>
        </w:rPr>
        <w:br/>
        <w:t>Komenda Wojewódzka Policji we Wrocławiu, Wydział Zamówień Publicznych i Funduszy Pomocowych, ul. Podwale 31-33, 50-040 Wrocław</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Komunikacja elektroniczna wymaga korzystania z narzędzi i urządzeń lub formatów plików, które nie są ogólnie dostępne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r w:rsidRPr="00E616DB">
        <w:rPr>
          <w:rFonts w:ascii="Verdana" w:eastAsia="Times New Roman" w:hAnsi="Verdana" w:cs="Times New Roman"/>
          <w:color w:val="000000"/>
          <w:sz w:val="20"/>
          <w:szCs w:val="20"/>
          <w:lang w:eastAsia="pl-PL"/>
        </w:rPr>
        <w:br/>
        <w:t>Nieograniczony, pełny, bezpośredni i bezpłatny dostęp do tych narzędzi można uzyskać pod adresem: (URL)</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b/>
          <w:bCs/>
          <w:color w:val="000000"/>
          <w:sz w:val="20"/>
          <w:szCs w:val="20"/>
          <w:lang w:eastAsia="pl-PL"/>
        </w:rPr>
      </w:pPr>
      <w:r w:rsidRPr="00E616DB">
        <w:rPr>
          <w:rFonts w:ascii="Verdana" w:eastAsia="Times New Roman" w:hAnsi="Verdana" w:cs="Times New Roman"/>
          <w:b/>
          <w:bCs/>
          <w:color w:val="000000"/>
          <w:sz w:val="20"/>
          <w:szCs w:val="20"/>
          <w:u w:val="single"/>
          <w:lang w:eastAsia="pl-PL"/>
        </w:rPr>
        <w:t>SEKCJA II: PRZEDMIOT ZAMÓWIENIA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II.1) Nazwa nadana zamówieniu przez zamawiającego: </w:t>
      </w:r>
      <w:r w:rsidRPr="00E616DB">
        <w:rPr>
          <w:rFonts w:ascii="Verdana" w:eastAsia="Times New Roman" w:hAnsi="Verdana" w:cs="Times New Roman"/>
          <w:color w:val="000000"/>
          <w:sz w:val="20"/>
          <w:szCs w:val="20"/>
          <w:lang w:eastAsia="pl-PL"/>
        </w:rPr>
        <w:t>Wykonywanie usługi przechowywania pojazdów zabezpieczonych przez Policję do dalszego postępowania procesowego na terenie podległym KPP w Bolesławcu, KPP w Dzierżoniowie, KPP w Górze, KPP w Kamiennej Górze, KPP w Lubaniu, KPP w Lwówku Śl., KPP w Miliczu, KPP w Oleśnicy, KPP w Oławie, KPP w Strzelinie, KPP w Polkowicach, KPP w Trzebnicy, KPP w Wołowie, KPP w Ząbkowicach Śl.</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Numer referencyjny: </w:t>
      </w:r>
      <w:r w:rsidRPr="00E616DB">
        <w:rPr>
          <w:rFonts w:ascii="Verdana" w:eastAsia="Times New Roman" w:hAnsi="Verdana" w:cs="Times New Roman"/>
          <w:color w:val="000000"/>
          <w:sz w:val="20"/>
          <w:szCs w:val="20"/>
          <w:lang w:eastAsia="pl-PL"/>
        </w:rPr>
        <w:t>PU-2380-063-034-049/2020/ML</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lastRenderedPageBreak/>
        <w:t>Przed wszczęciem postępowania o udzielenie zamówienia przeprowadzono dialog techniczny</w:t>
      </w:r>
    </w:p>
    <w:p w:rsidR="00E616DB" w:rsidRPr="00E616DB" w:rsidRDefault="00E616DB" w:rsidP="00E616DB">
      <w:pPr>
        <w:spacing w:after="0" w:line="360" w:lineRule="atLeast"/>
        <w:jc w:val="both"/>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II.2) Rodzaj zamówienia: </w:t>
      </w:r>
      <w:r w:rsidRPr="00E616DB">
        <w:rPr>
          <w:rFonts w:ascii="Verdana" w:eastAsia="Times New Roman" w:hAnsi="Verdana" w:cs="Times New Roman"/>
          <w:color w:val="000000"/>
          <w:sz w:val="20"/>
          <w:szCs w:val="20"/>
          <w:lang w:eastAsia="pl-PL"/>
        </w:rPr>
        <w:t>Usługi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II.3) Informacja o możliwości składania ofert częściowych</w:t>
      </w:r>
      <w:r w:rsidRPr="00E616DB">
        <w:rPr>
          <w:rFonts w:ascii="Verdana" w:eastAsia="Times New Roman" w:hAnsi="Verdana" w:cs="Times New Roman"/>
          <w:color w:val="000000"/>
          <w:sz w:val="20"/>
          <w:szCs w:val="20"/>
          <w:lang w:eastAsia="pl-PL"/>
        </w:rPr>
        <w:br/>
        <w:t>Zamówienie podzielone jest na części:</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Tak</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Oferty lub wnioski o dopuszczenie do udziału w postępowaniu można składać w odniesieniu do:</w:t>
      </w:r>
      <w:r w:rsidRPr="00E616DB">
        <w:rPr>
          <w:rFonts w:ascii="Verdana" w:eastAsia="Times New Roman" w:hAnsi="Verdana" w:cs="Times New Roman"/>
          <w:color w:val="000000"/>
          <w:sz w:val="20"/>
          <w:szCs w:val="20"/>
          <w:lang w:eastAsia="pl-PL"/>
        </w:rPr>
        <w:br/>
        <w:t>wszystkich części</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Zamawiający zastrzega sobie prawo do udzielenia łącznie następujących części lub grup części: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Maksymalna liczba części zamówienia, na które może zostać udzielone zamówienie jednemu wykonawcy:</w:t>
      </w:r>
      <w:r w:rsidRPr="00E616DB">
        <w:rPr>
          <w:rFonts w:ascii="Verdana" w:eastAsia="Times New Roman" w:hAnsi="Verdana" w:cs="Times New Roman"/>
          <w:color w:val="000000"/>
          <w:sz w:val="20"/>
          <w:szCs w:val="20"/>
          <w:lang w:eastAsia="pl-PL"/>
        </w:rPr>
        <w:br/>
        <w:t>14</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II.4)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 )</w:t>
      </w:r>
      <w:r w:rsidRPr="00E616DB">
        <w:rPr>
          <w:rFonts w:ascii="Verdana" w:eastAsia="Times New Roman" w:hAnsi="Verdana" w:cs="Times New Roman"/>
          <w:b/>
          <w:bCs/>
          <w:color w:val="000000"/>
          <w:sz w:val="20"/>
          <w:szCs w:val="20"/>
          <w:lang w:eastAsia="pl-PL"/>
        </w:rPr>
        <w:t> a w przypadku partnerstwa innowacyjnego - określenie zapotrzebowania na innowacyjny produkt, usługę lub roboty budowlane: </w:t>
      </w:r>
      <w:r w:rsidRPr="00E616DB">
        <w:rPr>
          <w:rFonts w:ascii="Verdana" w:eastAsia="Times New Roman" w:hAnsi="Verdana" w:cs="Times New Roman"/>
          <w:color w:val="000000"/>
          <w:sz w:val="20"/>
          <w:szCs w:val="20"/>
          <w:lang w:eastAsia="pl-PL"/>
        </w:rPr>
        <w:t xml:space="preserve">1. Przedmiotem zamówienia wykonywanie usługi przechowywania pojazdów zabezpieczonych przez Policję do dalszego postępowania procesowego na terenie podległym KPP w Bolesławcu, KPP w Dzierżoniowie, KPP w Górze, KPP w Kamiennej Górze, KPP w Lubaniu, KPP w Lwówku Śl., KPP w Miliczu, KPP w Oleśnicy, KPP w Oławie, KPP w Strzelinie, KPP w Polkowicach, KPP w Trzebnicy, KPP w Wołowie, KPP w Ząbkowicach Śl.. 2. Warunki jakie powinien spełniać parking przeznaczony do przechowywania pojazdów i części samochodowych zabezpieczanych przez Policję do celów procesowych (dotyczy wszystkich części postępowania). 2.1 Depozyty muszą być przechowywane na wydzielonej części parkingu, która jest ogrodzona, oświetlona i zabezpieczona przed wpływem warunków atmosferycznych (wiata, plandeka) w tym podtopieniem. 2.2 Na części parkingu, wyznaczonej na przechowywanie depozytów, winny znajdować się tylko depozyty zabezpieczone do celów procesowych przez Policję, pozostające w dyspozycji Policji, Sądu, Prokuratury, Urzędu Skarbowego. 2.3 Teren parkingu, gdzie przechowywane są depozyty do celów procesowych, powinien być zabezpieczony przed dostępem osób trzecich (trzecich sposób uniemożliwiający wejście, tj. zabezpieczony poprzez ogrodzenie o wysokości minimum 1 m., z wejściem zamykanym na klucz). Wykonawca zobowiązany jest do zamontowania urządzeń zapewniających całodobowy monitoring parkingu, </w:t>
      </w:r>
      <w:r w:rsidRPr="00E616DB">
        <w:rPr>
          <w:rFonts w:ascii="Verdana" w:eastAsia="Times New Roman" w:hAnsi="Verdana" w:cs="Times New Roman"/>
          <w:color w:val="000000"/>
          <w:sz w:val="20"/>
          <w:szCs w:val="20"/>
          <w:lang w:eastAsia="pl-PL"/>
        </w:rPr>
        <w:lastRenderedPageBreak/>
        <w:t xml:space="preserve">utrzymanie sprawności monitoringu przez cały okres trwania umowy oraz udostępnienia Zamawiającemu na jego żądanie zapisu z monitoringu albo sporządzenie na żądanie Zamawiającego kopii z zapisu monitoringu. 2.4 Udostępnienie do stałej dyspozycji: a) minimum 6 stanowisk postojowych dla pojazdów lub części pojazdów odpowiadających stanowisku postojowemu dla pojazdu o dopuszczalnej masie całkowitej poniżej 3500 kg, które powinno mieć wymiary co najmniej: szerokość 2,3 m i długość 4,5 m, oraz b) jednego stanowiska postojowego dla pojazdu o dopuszczalnej masie całkowitej powyżej 3500 kg, które powinno mieć wymiary co najmniej: szerokość 3,5 m i długość 8,0 m, - do ich całkowitego zapełnienia, zgodnie z Rozporządzeniem Ministra Transportu i Gospodarki Morskiej z dnia 23 grudnia 2015 r. w sprawie warunków technicznych, jakim powinny odpowiadać drogi publiczne i ich usytuowanie (Dz. U. z 2016 r. poz. 124 ze zmianami). 2.5 Zapewnienie całodobowej ochrony powierzonego mienia (usługi będą świadczone przez 24 godziny przez 7 dni w tygodniu). 2.6 Wykonawca ponosi odpowiedzialność cywilnoprawną (materialną) za uszkodzenie, braki elementów lub wyposażenia pojazdów/części, utratę pojazdów lub części pojazdów, w tym wyposażenia w trakcie przechowywania na parkingu strzeżonym od momentu przyjęcia pojazdu do momentu jego wydania. 2.7 Wykonawca jest zobowiązany do posiadania ubezpieczenia od odpowiedzialności cywilnej w zakresie prowadzonej działalności gospodarczej, zgodnie z przedmiotem zamówienia na kwotę nie niższą niż 100 000 zł. przez cały okres realizacji umowy. 3. Postępowanie, którego dotyczy niniejszy dokument, zostało podzielone na 14 części: - część 1 postępowania: usługi parkowania pojazdów zabezpieczonych przez Policję do celów procesowych na terenie podległym KPP w Bolesławcu Orientacyjna ilość dób przechowywania depozytów poniżej 3,5 tony – 550; Orientacyjna ilość dób przechowywania depozytów powyżej 3,5 tony – 500. Przewidywane ilości dób przechowywanych depozytów – poniżej i powyżej 3,5 tony są ilościami orientacyjnymi. - część 2 postępowania: usługi parkowania pojazdów zabezpieczonych przez Policję do celów procesowych na terenie podległym KPP w Dzierżoniowie Orientacyjna ilość dób przechowywania depozytów poniżej 3,5 tony – 1030; Orientacyjna ilość dób przechowywania depozytów powyżej 3,5 tony – 240. Przewidywane ilości dób przechowywanych depozytów – poniżej i powyżej 3,5 tony są ilościami orientacyjnymi. - część 3 postępowania: usługi parkowania pojazdów zabezpieczonych przez Policję do celów procesowych na terenie podległym KPP w Górze Orientacyjna ilość dób przechowywania depozytów poniżej 3,5 tony – 100; Orientacyjna ilość dób przechowywania depozytów powyżej 3,5 tony – 30. Przewidywane ilości dób przechowywanych depozytów – poniżej i powyżej 3,5 tony są ilościami orientacyjnymi. - część 4 postępowania: usługi parkowania pojazdów zabezpieczonych przez Policję do celów procesowych na terenie podległym KPP w Kamiennej Górze Orientacyjna ilość dób przechowywania depozytów poniżej 3,5 tony – 300; Orientacyjna ilość dób </w:t>
      </w:r>
      <w:r w:rsidRPr="00E616DB">
        <w:rPr>
          <w:rFonts w:ascii="Verdana" w:eastAsia="Times New Roman" w:hAnsi="Verdana" w:cs="Times New Roman"/>
          <w:color w:val="000000"/>
          <w:sz w:val="20"/>
          <w:szCs w:val="20"/>
          <w:lang w:eastAsia="pl-PL"/>
        </w:rPr>
        <w:lastRenderedPageBreak/>
        <w:t xml:space="preserve">przechowywania depozytów powyżej 3,5 tony – 60. Przewidywane ilości dób przechowywanych depozytów – poniżej i powyżej 3,5 tony są ilościami orientacyjnymi. - część 5 postępowania: usługi parkowania pojazdów zabezpieczonych przez Policję do celów procesowych na terenie podległym KPP w Lubaniu Orientacyjna ilość dób przechowywania depozytów poniżej 3,5 tony – 800; Orientacyjna ilość dób przechowywania depozytów powyżej 3,5 tony – 80. Przewidywane ilości dób przechowywanych depozytów – poniżej i powyżej 3,5 tony są ilościami orientacyjnymi. - część 6 postępowania: usługi parkowania pojazdów zabezpieczonych przez Policję do celów procesowych na terenie podległym KPP w Lwówku Śl. Orientacyjna ilość dób przechowywania depozytów poniżej 3,5 tony – 150; Orientacyjna ilość dób przechowywania depozytów powyżej 3,5 tony – 50. Przewidywane ilości dób przechowywanych depozytów – poniżej i powyżej 3,5 tony są ilościami orientacyjnymi. - część 7 postępowania: usługi parkowania pojazdów zabezpieczonych przez Policję do celów procesowych na terenie podległym KPP w Miliczu Orientacyjna ilość dób przechowywania depozytów poniżej 3,5 tony – 600; Orientacyjna ilość dób przechowywania depozytów powyżej 3,5 tony – 500. Przewidywane ilości dób przechowywanych depozytów – poniżej i powyżej 3,5 tony są ilościami orientacyjnymi. - część 8 postępowania: usługi parkowania pojazdów zabezpieczonych przez Policję do celów procesowych na terenie podległym KPP w Oleśnicy Orientacyjna ilość dób przechowywania depozytów poniżej 3,5 tony – 360; Orientacyjna ilość dób przechowywania depozytów powyżej 3,5 tony – 40. Przewidywane ilości dób przechowywanych depozytów – poniżej i powyżej 3,5 tony są ilościami orientacyjnymi. - część 9 postępowania: usługi parkowania pojazdów zabezpieczonych przez Policję do celów procesowych na terenie podległym KPP w Oławie Orientacyjna ilość dób przechowywania depozytów poniżej 3,5 tony – 935; Orientacyjna ilość dób przechowywania depozytów powyżej 3,5 tony – 215. Przewidywane ilości dób przechowywanych depozytów – poniżej i powyżej 3,5 tony są ilościami orientacyjnymi. - część 10 postępowania: usługi parkowania pojazdów zabezpieczonych przez Policję do celów procesowych na terenie podległym KPP w Strzelinie Orientacyjna ilość dób przechowywania depozytów poniżej 3,5 tony – 200; Orientacyjna ilość dób przechowywania depozytów powyżej 3,5 tony – 40. Przewidywane ilości dób przechowywanych depozytów – poniżej i powyżej 3,5 tony są ilościami orientacyjnymi. - część 11 postępowania: usługi parkowania pojazdów zabezpieczonych przez Policję do celów procesowych na terenie podległym KPP w Polkowicach Orientacyjna ilość dób przechowywania depozytów poniżej 3,5 tony – 400; Orientacyjna ilość dób przechowywania depozytów powyżej 3,5 tony – 100. Przewidywane ilości dób przechowywanych depozytów – poniżej i powyżej 3,5 tony są ilościami orientacyjnymi. - część 12 postępowania: usługi parkowania pojazdów zabezpieczonych przez Policję do </w:t>
      </w:r>
      <w:r w:rsidRPr="00E616DB">
        <w:rPr>
          <w:rFonts w:ascii="Verdana" w:eastAsia="Times New Roman" w:hAnsi="Verdana" w:cs="Times New Roman"/>
          <w:color w:val="000000"/>
          <w:sz w:val="20"/>
          <w:szCs w:val="20"/>
          <w:lang w:eastAsia="pl-PL"/>
        </w:rPr>
        <w:lastRenderedPageBreak/>
        <w:t xml:space="preserve">celów procesowych na terenie podległym KPP w Trzebnicy Orientacyjna ilość dób przechowywania depozytów poniżej 3,5 tony – 1800; Orientacyjna ilość dób przechowywania depozytów powyżej 3,5 tony – 330. Przewidywane ilości dób przechowywanych depozytów – poniżej i powyżej 3,5 tony są ilościami orientacyjnymi. - część 13 postępowania: usługi parkowania pojazdów zabezpieczonych przez Policję do celów procesowych na terenie podległym KPP w Wołowie Orientacyjna ilość dób przechowywania depozytów poniżej 3,5 tony – 50; Orientacyjna ilość dób przechowywania depozytów powyżej 3,5 tony – 30. Przewidywane ilości dób przechowywanych depozytów – poniżej i powyżej 3,5 tony są ilościami orientacyjnymi. - część 14 postępowania: usługi parkowania pojazdów zabezpieczonych przez Policję do celów procesowych na terenie podległym KPP w Ząbkowicach Śl. Orientacyjna ilość dób przechowywania depozytów poniżej 3,5 tony – 150; Orientacyjna ilość dób przechowywania depozytów powyżej 3,5 tony – 30. Przewidywane ilości dób przechowywanych depozytów – poniżej i powyżej 3,5 tony są ilościami orientacyjnymi. Zamawiający dopuszcza możliwość składania ofert częściowych. Wykonawca może złożyć ofertę w jednej, dwóch, kilku lub wszystkich częściach postępowania. Wymaga się złożenia oferty obejmującej zarówno przechowywanie depozytów (pojazdów) poniżej 3,5 tony, jak i depozytów (pojazdów) powyżej 3,5 tony przez cały okres obowiązywania umowy w ramach danej części postępowania. Maksymalna ilość części, w której wykonawca może złożyć ofertę: 14. 4. W odniesieniu do warunku określonego w art. 29 ust. 5 ustawy </w:t>
      </w:r>
      <w:proofErr w:type="spellStart"/>
      <w:r w:rsidRPr="00E616DB">
        <w:rPr>
          <w:rFonts w:ascii="Verdana" w:eastAsia="Times New Roman" w:hAnsi="Verdana" w:cs="Times New Roman"/>
          <w:color w:val="000000"/>
          <w:sz w:val="20"/>
          <w:szCs w:val="20"/>
          <w:lang w:eastAsia="pl-PL"/>
        </w:rPr>
        <w:t>Pzp</w:t>
      </w:r>
      <w:proofErr w:type="spellEnd"/>
      <w:r w:rsidRPr="00E616DB">
        <w:rPr>
          <w:rFonts w:ascii="Verdana" w:eastAsia="Times New Roman" w:hAnsi="Verdana" w:cs="Times New Roman"/>
          <w:color w:val="000000"/>
          <w:sz w:val="20"/>
          <w:szCs w:val="20"/>
          <w:lang w:eastAsia="pl-PL"/>
        </w:rPr>
        <w:t xml:space="preserve"> dotyczącego dostępności dla osób niepełnosprawnych, o których mowa w Dyrektywie Parlamentu Europejskiego i Rady 2014/24/UE z dnia 26 lutego 2014 r. w sprawie zamówień publicznych (</w:t>
      </w:r>
      <w:proofErr w:type="spellStart"/>
      <w:r w:rsidRPr="00E616DB">
        <w:rPr>
          <w:rFonts w:ascii="Verdana" w:eastAsia="Times New Roman" w:hAnsi="Verdana" w:cs="Times New Roman"/>
          <w:color w:val="000000"/>
          <w:sz w:val="20"/>
          <w:szCs w:val="20"/>
          <w:lang w:eastAsia="pl-PL"/>
        </w:rPr>
        <w:t>Dz.U.UE.L</w:t>
      </w:r>
      <w:proofErr w:type="spellEnd"/>
      <w:r w:rsidRPr="00E616DB">
        <w:rPr>
          <w:rFonts w:ascii="Verdana" w:eastAsia="Times New Roman" w:hAnsi="Verdana" w:cs="Times New Roman"/>
          <w:color w:val="000000"/>
          <w:sz w:val="20"/>
          <w:szCs w:val="20"/>
          <w:lang w:eastAsia="pl-PL"/>
        </w:rPr>
        <w:t xml:space="preserve"> Nr 94, s. 65), Zamawiający informuje, że opis przedmiotu zamówienia nie ma wpływu na dostępność dla osób niepełnosprawnych – przedmiot zamówienia nie jest przeznaczony do użytku osób fizycznych, lecz usługa dotyczy depozytów (pojazdów) zabezpieczonych do dalszego postępowania procesowego . 5. W odniesieniu do warunku określonego w art. 29 ust. 3a ustawy </w:t>
      </w:r>
      <w:proofErr w:type="spellStart"/>
      <w:r w:rsidRPr="00E616DB">
        <w:rPr>
          <w:rFonts w:ascii="Verdana" w:eastAsia="Times New Roman" w:hAnsi="Verdana" w:cs="Times New Roman"/>
          <w:color w:val="000000"/>
          <w:sz w:val="20"/>
          <w:szCs w:val="20"/>
          <w:lang w:eastAsia="pl-PL"/>
        </w:rPr>
        <w:t>Pzp</w:t>
      </w:r>
      <w:proofErr w:type="spellEnd"/>
      <w:r w:rsidRPr="00E616DB">
        <w:rPr>
          <w:rFonts w:ascii="Verdana" w:eastAsia="Times New Roman" w:hAnsi="Verdana" w:cs="Times New Roman"/>
          <w:color w:val="000000"/>
          <w:sz w:val="20"/>
          <w:szCs w:val="20"/>
          <w:lang w:eastAsia="pl-PL"/>
        </w:rPr>
        <w:t xml:space="preserve">. Zamawiający informuje, że czynności w zakresie realizacji zamówienia nie polegają na wykonywaniu pracy w sposób określony w art. 22 §1 ustawy z dnia 26 czerwca 1974 r. – Kodeks pracy, dlatego też Zamawiający nie określa wymagania zatrudnienia na podstawie umowy o pracę osób, które będą wykonywać czynności w zakresie realizacji przedmiotu zamówienia. 6. Kod i nazwa Wspólnego Słownika Zamówień (CPV): 98351100-9 usługi parkingowe 7. Miejsce wykonywania usługi: - część 1 postępowania: teren powiatu bolesławieckiego, - część 2 postępowania: teren powiatu dzierżoniowskiego, - część 3 postępowania: teren powiatu górowskiego, - część 4 postępowania: teren powiatu kamiennogórskiego, - część 5 postępowania: teren powiatu lubańskiego, - część 6 postępowania: teren powiatu lwóweckiego, - część 7 postępowania: teren powiatu milickiego, - część 8 postępowania: teren powiatu oleśnickiego, - część 9 postępowania: </w:t>
      </w:r>
      <w:r w:rsidRPr="00E616DB">
        <w:rPr>
          <w:rFonts w:ascii="Verdana" w:eastAsia="Times New Roman" w:hAnsi="Verdana" w:cs="Times New Roman"/>
          <w:color w:val="000000"/>
          <w:sz w:val="20"/>
          <w:szCs w:val="20"/>
          <w:lang w:eastAsia="pl-PL"/>
        </w:rPr>
        <w:lastRenderedPageBreak/>
        <w:t>teren powiatu oławskiego, - część 10 postępowania: teren powiatu strzelińskiego, - część 11 postępowania: teren powiatu polkowickiego, - część 12 postępowania: teren powiatu trzebnickiego, - część 13 postępowania: teren powiatu wołowskiego, - część 14 postępowania: teren powiatu ząbkowickiego. W celu realizacji przedmiotu zamówienia Wykonawca zobowiązany jest do wskazania w ofercie tylko jednej lokalizacji parkingu, na którym przechowywane będą depozyty (pojazdy lub ich części). Zamawiający wymaga, by parking zlokalizowany był na terenie powiatu, w którym usługa będzie realizowana. Zamawiający wymaga podania adresu parkingu w formularzu ofertowym.</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II.5) Główny kod 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Dodatkowe kody CPV:</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II.6) Całkowita wartość zamówienia </w:t>
      </w:r>
      <w:r w:rsidRPr="00E616DB">
        <w:rPr>
          <w:rFonts w:ascii="Verdana" w:eastAsia="Times New Roman" w:hAnsi="Verdana" w:cs="Times New Roman"/>
          <w:i/>
          <w:iCs/>
          <w:color w:val="000000"/>
          <w:sz w:val="20"/>
          <w:szCs w:val="20"/>
          <w:lang w:eastAsia="pl-PL"/>
        </w:rPr>
        <w:t>(jeżeli zamawiający podaje informacje o wartości zamówienia)</w:t>
      </w:r>
      <w:r w:rsidRPr="00E616DB">
        <w:rPr>
          <w:rFonts w:ascii="Verdana" w:eastAsia="Times New Roman" w:hAnsi="Verdana" w:cs="Times New Roman"/>
          <w:color w:val="000000"/>
          <w:sz w:val="20"/>
          <w:szCs w:val="20"/>
          <w:lang w:eastAsia="pl-PL"/>
        </w:rPr>
        <w:t>:</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 xml:space="preserve">II.7) Czy przewiduje się udzielenie zamówień, o których mowa w art. 67 ust. 1 </w:t>
      </w:r>
      <w:proofErr w:type="spellStart"/>
      <w:r w:rsidRPr="00E616DB">
        <w:rPr>
          <w:rFonts w:ascii="Verdana" w:eastAsia="Times New Roman" w:hAnsi="Verdana" w:cs="Times New Roman"/>
          <w:b/>
          <w:bCs/>
          <w:color w:val="000000"/>
          <w:sz w:val="20"/>
          <w:szCs w:val="20"/>
          <w:lang w:eastAsia="pl-PL"/>
        </w:rPr>
        <w:t>pkt</w:t>
      </w:r>
      <w:proofErr w:type="spellEnd"/>
      <w:r w:rsidRPr="00E616DB">
        <w:rPr>
          <w:rFonts w:ascii="Verdana" w:eastAsia="Times New Roman" w:hAnsi="Verdana" w:cs="Times New Roman"/>
          <w:b/>
          <w:bCs/>
          <w:color w:val="000000"/>
          <w:sz w:val="20"/>
          <w:szCs w:val="20"/>
          <w:lang w:eastAsia="pl-PL"/>
        </w:rPr>
        <w:t xml:space="preserve"> 6 i 7 lub w art. 134 ust. 6 </w:t>
      </w:r>
      <w:proofErr w:type="spellStart"/>
      <w:r w:rsidRPr="00E616DB">
        <w:rPr>
          <w:rFonts w:ascii="Verdana" w:eastAsia="Times New Roman" w:hAnsi="Verdana" w:cs="Times New Roman"/>
          <w:b/>
          <w:bCs/>
          <w:color w:val="000000"/>
          <w:sz w:val="20"/>
          <w:szCs w:val="20"/>
          <w:lang w:eastAsia="pl-PL"/>
        </w:rPr>
        <w:t>pkt</w:t>
      </w:r>
      <w:proofErr w:type="spellEnd"/>
      <w:r w:rsidRPr="00E616DB">
        <w:rPr>
          <w:rFonts w:ascii="Verdana" w:eastAsia="Times New Roman" w:hAnsi="Verdana" w:cs="Times New Roman"/>
          <w:b/>
          <w:bCs/>
          <w:color w:val="000000"/>
          <w:sz w:val="20"/>
          <w:szCs w:val="20"/>
          <w:lang w:eastAsia="pl-PL"/>
        </w:rPr>
        <w:t xml:space="preserve"> 3 ustawy </w:t>
      </w:r>
      <w:proofErr w:type="spellStart"/>
      <w:r w:rsidRPr="00E616DB">
        <w:rPr>
          <w:rFonts w:ascii="Verdana" w:eastAsia="Times New Roman" w:hAnsi="Verdana" w:cs="Times New Roman"/>
          <w:b/>
          <w:bCs/>
          <w:color w:val="000000"/>
          <w:sz w:val="20"/>
          <w:szCs w:val="20"/>
          <w:lang w:eastAsia="pl-PL"/>
        </w:rPr>
        <w:t>Pzp</w:t>
      </w:r>
      <w:proofErr w:type="spellEnd"/>
      <w:r w:rsidRPr="00E616DB">
        <w:rPr>
          <w:rFonts w:ascii="Verdana" w:eastAsia="Times New Roman" w:hAnsi="Verdana" w:cs="Times New Roman"/>
          <w:b/>
          <w:bCs/>
          <w:color w:val="000000"/>
          <w:sz w:val="20"/>
          <w:szCs w:val="20"/>
          <w:lang w:eastAsia="pl-PL"/>
        </w:rPr>
        <w:t>: </w:t>
      </w:r>
      <w:r w:rsidRPr="00E616DB">
        <w:rPr>
          <w:rFonts w:ascii="Verdana" w:eastAsia="Times New Roman" w:hAnsi="Verdana" w:cs="Times New Roman"/>
          <w:color w:val="000000"/>
          <w:sz w:val="20"/>
          <w:szCs w:val="20"/>
          <w:lang w:eastAsia="pl-PL"/>
        </w:rPr>
        <w:t>Nie</w:t>
      </w:r>
      <w:r w:rsidRPr="00E616DB">
        <w:rPr>
          <w:rFonts w:ascii="Verdana" w:eastAsia="Times New Roman" w:hAnsi="Verdana" w:cs="Times New Roman"/>
          <w:color w:val="000000"/>
          <w:sz w:val="20"/>
          <w:szCs w:val="20"/>
          <w:lang w:eastAsia="pl-PL"/>
        </w:rPr>
        <w:br/>
        <w:t xml:space="preserve">Określenie przedmiotu, wielkości lub zakresu oraz warunków na jakich zostaną udzielone zamówienia, o których mowa w art. 67 ust. 1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6 lub w art. 134 ust. 6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3 ustawy </w:t>
      </w:r>
      <w:proofErr w:type="spellStart"/>
      <w:r w:rsidRPr="00E616DB">
        <w:rPr>
          <w:rFonts w:ascii="Verdana" w:eastAsia="Times New Roman" w:hAnsi="Verdana" w:cs="Times New Roman"/>
          <w:color w:val="000000"/>
          <w:sz w:val="20"/>
          <w:szCs w:val="20"/>
          <w:lang w:eastAsia="pl-PL"/>
        </w:rPr>
        <w:t>Pzp</w:t>
      </w:r>
      <w:proofErr w:type="spellEnd"/>
      <w:r w:rsidRPr="00E616DB">
        <w:rPr>
          <w:rFonts w:ascii="Verdana" w:eastAsia="Times New Roman" w:hAnsi="Verdana" w:cs="Times New Roman"/>
          <w:color w:val="000000"/>
          <w:sz w:val="20"/>
          <w:szCs w:val="20"/>
          <w:lang w:eastAsia="pl-PL"/>
        </w:rPr>
        <w:t>:</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E616DB">
        <w:rPr>
          <w:rFonts w:ascii="Verdana" w:eastAsia="Times New Roman" w:hAnsi="Verdana" w:cs="Times New Roman"/>
          <w:color w:val="000000"/>
          <w:sz w:val="20"/>
          <w:szCs w:val="20"/>
          <w:lang w:eastAsia="pl-PL"/>
        </w:rPr>
        <w:br/>
        <w:t>miesiącach:  24  </w:t>
      </w:r>
      <w:r w:rsidRPr="00E616DB">
        <w:rPr>
          <w:rFonts w:ascii="Verdana" w:eastAsia="Times New Roman" w:hAnsi="Verdana" w:cs="Times New Roman"/>
          <w:i/>
          <w:iCs/>
          <w:color w:val="000000"/>
          <w:sz w:val="20"/>
          <w:szCs w:val="20"/>
          <w:lang w:eastAsia="pl-PL"/>
        </w:rPr>
        <w:t> lub </w:t>
      </w:r>
      <w:r w:rsidRPr="00E616DB">
        <w:rPr>
          <w:rFonts w:ascii="Verdana" w:eastAsia="Times New Roman" w:hAnsi="Verdana" w:cs="Times New Roman"/>
          <w:b/>
          <w:bCs/>
          <w:color w:val="000000"/>
          <w:sz w:val="20"/>
          <w:szCs w:val="20"/>
          <w:lang w:eastAsia="pl-PL"/>
        </w:rPr>
        <w:t>dniach:</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i/>
          <w:iCs/>
          <w:color w:val="000000"/>
          <w:sz w:val="20"/>
          <w:szCs w:val="20"/>
          <w:lang w:eastAsia="pl-PL"/>
        </w:rPr>
        <w:t>lub</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data rozpoczęcia: </w:t>
      </w:r>
      <w:r w:rsidRPr="00E616DB">
        <w:rPr>
          <w:rFonts w:ascii="Verdana" w:eastAsia="Times New Roman" w:hAnsi="Verdana" w:cs="Times New Roman"/>
          <w:color w:val="000000"/>
          <w:sz w:val="20"/>
          <w:szCs w:val="20"/>
          <w:lang w:eastAsia="pl-PL"/>
        </w:rPr>
        <w:t> </w:t>
      </w:r>
      <w:r w:rsidRPr="00E616DB">
        <w:rPr>
          <w:rFonts w:ascii="Verdana" w:eastAsia="Times New Roman" w:hAnsi="Verdana" w:cs="Times New Roman"/>
          <w:i/>
          <w:iCs/>
          <w:color w:val="000000"/>
          <w:sz w:val="20"/>
          <w:szCs w:val="20"/>
          <w:lang w:eastAsia="pl-PL"/>
        </w:rPr>
        <w:t> lub </w:t>
      </w:r>
      <w:r w:rsidRPr="00E616DB">
        <w:rPr>
          <w:rFonts w:ascii="Verdana" w:eastAsia="Times New Roman" w:hAnsi="Verdana" w:cs="Times New Roman"/>
          <w:b/>
          <w:bCs/>
          <w:color w:val="000000"/>
          <w:sz w:val="20"/>
          <w:szCs w:val="20"/>
          <w:lang w:eastAsia="pl-PL"/>
        </w:rPr>
        <w:t>zakończenia: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022"/>
        <w:gridCol w:w="1576"/>
        <w:gridCol w:w="1739"/>
        <w:gridCol w:w="1795"/>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Data zakończenia</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II.9) Informacje dodatkowe: </w:t>
      </w:r>
      <w:r w:rsidRPr="00E616DB">
        <w:rPr>
          <w:rFonts w:ascii="Verdana" w:eastAsia="Times New Roman" w:hAnsi="Verdana" w:cs="Times New Roman"/>
          <w:color w:val="000000"/>
          <w:sz w:val="20"/>
          <w:szCs w:val="20"/>
          <w:lang w:eastAsia="pl-PL"/>
        </w:rPr>
        <w:t xml:space="preserve">Klauzula informacyjna RODO została opisana w Rozdziale I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5 SIWZ. Termin realizacji zamówienia (dotyczy każdej z części postępowania): 24 miesiące od daty zawarcia umowy, jednakże tylko do wyczerpania </w:t>
      </w:r>
      <w:r w:rsidRPr="00E616DB">
        <w:rPr>
          <w:rFonts w:ascii="Verdana" w:eastAsia="Times New Roman" w:hAnsi="Verdana" w:cs="Times New Roman"/>
          <w:color w:val="000000"/>
          <w:sz w:val="20"/>
          <w:szCs w:val="20"/>
          <w:lang w:eastAsia="pl-PL"/>
        </w:rPr>
        <w:lastRenderedPageBreak/>
        <w:t>limitu finansowego przeznaczonego na realizację usług w każdej z części postępowania (limit finansowy określony ceną oferty)</w:t>
      </w:r>
    </w:p>
    <w:p w:rsidR="00E616DB" w:rsidRPr="00E616DB" w:rsidRDefault="00E616DB" w:rsidP="00E616DB">
      <w:pPr>
        <w:spacing w:after="0" w:line="360" w:lineRule="atLeast"/>
        <w:rPr>
          <w:rFonts w:ascii="Verdana" w:eastAsia="Times New Roman" w:hAnsi="Verdana" w:cs="Times New Roman"/>
          <w:b/>
          <w:bCs/>
          <w:color w:val="000000"/>
          <w:sz w:val="20"/>
          <w:szCs w:val="20"/>
          <w:lang w:eastAsia="pl-PL"/>
        </w:rPr>
      </w:pPr>
      <w:r w:rsidRPr="00E616DB">
        <w:rPr>
          <w:rFonts w:ascii="Verdana" w:eastAsia="Times New Roman" w:hAnsi="Verdana" w:cs="Times New Roman"/>
          <w:b/>
          <w:bCs/>
          <w:color w:val="000000"/>
          <w:sz w:val="20"/>
          <w:szCs w:val="20"/>
          <w:u w:val="single"/>
          <w:lang w:eastAsia="pl-PL"/>
        </w:rPr>
        <w:t>SEKCJA III: INFORMACJE O CHARAKTERZE PRAWNYM, EKONOMICZNYM, FINANSOWYM I TECHNICZNYM</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III.1) WARUNKI UDZIAŁU W POSTĘPOWANIU</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III.1.1) Kompetencje lub uprawnienia do prowadzenia określonej działalności zawodowej, o ile wynika to z odrębnych przepisów</w:t>
      </w:r>
      <w:r w:rsidRPr="00E616DB">
        <w:rPr>
          <w:rFonts w:ascii="Verdana" w:eastAsia="Times New Roman" w:hAnsi="Verdana" w:cs="Times New Roman"/>
          <w:color w:val="000000"/>
          <w:sz w:val="20"/>
          <w:szCs w:val="20"/>
          <w:lang w:eastAsia="pl-PL"/>
        </w:rPr>
        <w:br/>
        <w:t>Określenie warunków: Zamawiający nie określa warunku.</w:t>
      </w:r>
      <w:r w:rsidRPr="00E616DB">
        <w:rPr>
          <w:rFonts w:ascii="Verdana" w:eastAsia="Times New Roman" w:hAnsi="Verdana" w:cs="Times New Roman"/>
          <w:color w:val="000000"/>
          <w:sz w:val="20"/>
          <w:szCs w:val="20"/>
          <w:lang w:eastAsia="pl-PL"/>
        </w:rPr>
        <w:br/>
        <w:t>Informacje dodatkowe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III.1.2) Sytuacja finansowa lub ekonomiczna</w:t>
      </w:r>
      <w:r w:rsidRPr="00E616DB">
        <w:rPr>
          <w:rFonts w:ascii="Verdana" w:eastAsia="Times New Roman" w:hAnsi="Verdana" w:cs="Times New Roman"/>
          <w:color w:val="000000"/>
          <w:sz w:val="20"/>
          <w:szCs w:val="20"/>
          <w:lang w:eastAsia="pl-PL"/>
        </w:rPr>
        <w:br/>
        <w:t>Określenie warunków: Zamawiający nie określa warunku.</w:t>
      </w:r>
      <w:r w:rsidRPr="00E616DB">
        <w:rPr>
          <w:rFonts w:ascii="Verdana" w:eastAsia="Times New Roman" w:hAnsi="Verdana" w:cs="Times New Roman"/>
          <w:color w:val="000000"/>
          <w:sz w:val="20"/>
          <w:szCs w:val="20"/>
          <w:lang w:eastAsia="pl-PL"/>
        </w:rPr>
        <w:br/>
        <w:t>Informacje dodatkowe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III.1.3) Zdolność techniczna lub zawodowa</w:t>
      </w:r>
      <w:r w:rsidRPr="00E616DB">
        <w:rPr>
          <w:rFonts w:ascii="Verdana" w:eastAsia="Times New Roman" w:hAnsi="Verdana" w:cs="Times New Roman"/>
          <w:color w:val="000000"/>
          <w:sz w:val="20"/>
          <w:szCs w:val="20"/>
          <w:lang w:eastAsia="pl-PL"/>
        </w:rPr>
        <w:br/>
        <w:t>Określenie warunków: Zamawiający nie określa warunku.</w:t>
      </w:r>
      <w:r w:rsidRPr="00E616DB">
        <w:rPr>
          <w:rFonts w:ascii="Verdana" w:eastAsia="Times New Roman" w:hAnsi="Verdana"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E616DB">
        <w:rPr>
          <w:rFonts w:ascii="Verdana" w:eastAsia="Times New Roman" w:hAnsi="Verdana" w:cs="Times New Roman"/>
          <w:color w:val="000000"/>
          <w:sz w:val="20"/>
          <w:szCs w:val="20"/>
          <w:lang w:eastAsia="pl-PL"/>
        </w:rPr>
        <w:br/>
        <w:t xml:space="preserve">Informacje dodatkowe: Zamawiający informuje, że w niniejszym postępowaniu będzie stosował tzw. procedurę odwróconą, uregulowaną w art. 24 aa ustawy </w:t>
      </w:r>
      <w:proofErr w:type="spellStart"/>
      <w:r w:rsidRPr="00E616DB">
        <w:rPr>
          <w:rFonts w:ascii="Verdana" w:eastAsia="Times New Roman" w:hAnsi="Verdana" w:cs="Times New Roman"/>
          <w:color w:val="000000"/>
          <w:sz w:val="20"/>
          <w:szCs w:val="20"/>
          <w:lang w:eastAsia="pl-PL"/>
        </w:rPr>
        <w:t>Pzp</w:t>
      </w:r>
      <w:proofErr w:type="spellEnd"/>
      <w:r w:rsidRPr="00E616DB">
        <w:rPr>
          <w:rFonts w:ascii="Verdana" w:eastAsia="Times New Roman" w:hAnsi="Verdana" w:cs="Times New Roman"/>
          <w:color w:val="000000"/>
          <w:sz w:val="20"/>
          <w:szCs w:val="20"/>
          <w:lang w:eastAsia="pl-PL"/>
        </w:rPr>
        <w:t xml:space="preserve">, tzn. najpierw dokona oceny ofert, a następnie zbada, czy wykonawca, którego oferta została oceniona jako najkorzystniejsza nie podlega wykluczeniu oraz spełnia warunki udziału w postępowaniu. Etap I: Wszyscy wykonawcy składają do oferty oświadczenie o braku podstaw do wykluczenia, jednakże ocena wstępna (dokonywana na podstawie tego oświadczenia oraz oświadczenia dot. przynależności do tej samej grupy kapitałowej) braku podstaw do wykluczenia dokonywana będzie wyłącznie w odniesieniu do Wykonawcy, którego oferta została oceniona jako najkorzystniejsza (w każdej z części postępowania). Ocena ta będzie stanowić wstępne potwierdzenie, że wykonawca nie podlega wykluczeniu. Etap II: zamawiający przed udzieleniem zamówienia wezwie Wykonawcę, którego oferta została najwyżej oceniona (w każdej z części postępowania), do złożenia, w wyznaczonym, nie krótszym niż 5 dni terminie, aktualnych na dzień złożenia oświadczeń lub dokumentów potwierdzających brak podstaw do wykluczenia. Wykonawca, który podlega wykluczeniu na podstawie art. 24 ust. 1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w:t>
      </w:r>
      <w:r w:rsidRPr="00E616DB">
        <w:rPr>
          <w:rFonts w:ascii="Verdana" w:eastAsia="Times New Roman" w:hAnsi="Verdana" w:cs="Times New Roman"/>
          <w:color w:val="000000"/>
          <w:sz w:val="20"/>
          <w:szCs w:val="20"/>
          <w:lang w:eastAsia="pl-PL"/>
        </w:rPr>
        <w:lastRenderedPageBreak/>
        <w:t>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III.2) PODSTAWY WYKLUCZENIA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 xml:space="preserve">III.2.1) Podstawy wykluczenia określone w art. 24 ust. 1 ustawy </w:t>
      </w:r>
      <w:proofErr w:type="spellStart"/>
      <w:r w:rsidRPr="00E616DB">
        <w:rPr>
          <w:rFonts w:ascii="Verdana" w:eastAsia="Times New Roman" w:hAnsi="Verdana" w:cs="Times New Roman"/>
          <w:b/>
          <w:bCs/>
          <w:color w:val="000000"/>
          <w:sz w:val="20"/>
          <w:szCs w:val="20"/>
          <w:lang w:eastAsia="pl-PL"/>
        </w:rPr>
        <w:t>Pzp</w:t>
      </w:r>
      <w:proofErr w:type="spellEnd"/>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 xml:space="preserve">III.2.2) Zamawiający przewiduje wykluczenie wykonawcy na podstawie art. 24 ust. 5 ustawy </w:t>
      </w:r>
      <w:proofErr w:type="spellStart"/>
      <w:r w:rsidRPr="00E616DB">
        <w:rPr>
          <w:rFonts w:ascii="Verdana" w:eastAsia="Times New Roman" w:hAnsi="Verdana" w:cs="Times New Roman"/>
          <w:b/>
          <w:bCs/>
          <w:color w:val="000000"/>
          <w:sz w:val="20"/>
          <w:szCs w:val="20"/>
          <w:lang w:eastAsia="pl-PL"/>
        </w:rPr>
        <w:t>Pzp</w:t>
      </w:r>
      <w:proofErr w:type="spellEnd"/>
      <w:r w:rsidRPr="00E616DB">
        <w:rPr>
          <w:rFonts w:ascii="Verdana" w:eastAsia="Times New Roman" w:hAnsi="Verdana" w:cs="Times New Roman"/>
          <w:color w:val="000000"/>
          <w:sz w:val="20"/>
          <w:szCs w:val="20"/>
          <w:lang w:eastAsia="pl-PL"/>
        </w:rPr>
        <w:t> Nie Zamawiający przewiduje następujące fakultatywne podstawy wykluczenia:</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Oświadczenie o niepodleganiu wykluczeniu oraz spełnianiu warunków udziału w postępowaniu</w:t>
      </w:r>
      <w:r w:rsidRPr="00E616DB">
        <w:rPr>
          <w:rFonts w:ascii="Verdana" w:eastAsia="Times New Roman" w:hAnsi="Verdana" w:cs="Times New Roman"/>
          <w:color w:val="000000"/>
          <w:sz w:val="20"/>
          <w:szCs w:val="20"/>
          <w:lang w:eastAsia="pl-PL"/>
        </w:rPr>
        <w:br/>
        <w:t>Tak</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Oświadczenie o spełnianiu kryteriów selekcji</w:t>
      </w:r>
      <w:r w:rsidRPr="00E616DB">
        <w:rPr>
          <w:rFonts w:ascii="Verdana" w:eastAsia="Times New Roman" w:hAnsi="Verdana" w:cs="Times New Roman"/>
          <w:color w:val="000000"/>
          <w:sz w:val="20"/>
          <w:szCs w:val="20"/>
          <w:lang w:eastAsia="pl-PL"/>
        </w:rPr>
        <w:br/>
        <w:t>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 xml:space="preserve">Na podstawie art. 24 ust. 11 ustawy Prawo zamówień publicznych Wykonawca (w przypadku wykonawców wspólnie ubiegających się o udzielenie zamówienia – każdy z Wykonawców), w terminie 3 dni od zamieszczenia na stronie internetowej informacji, o której mowa w art. 86 ust. 5 ustawy </w:t>
      </w:r>
      <w:proofErr w:type="spellStart"/>
      <w:r w:rsidRPr="00E616DB">
        <w:rPr>
          <w:rFonts w:ascii="Verdana" w:eastAsia="Times New Roman" w:hAnsi="Verdana" w:cs="Times New Roman"/>
          <w:color w:val="000000"/>
          <w:sz w:val="20"/>
          <w:szCs w:val="20"/>
          <w:lang w:eastAsia="pl-PL"/>
        </w:rPr>
        <w:t>Pzp</w:t>
      </w:r>
      <w:proofErr w:type="spellEnd"/>
      <w:r w:rsidRPr="00E616DB">
        <w:rPr>
          <w:rFonts w:ascii="Verdana" w:eastAsia="Times New Roman" w:hAnsi="Verdana" w:cs="Times New Roman"/>
          <w:color w:val="000000"/>
          <w:sz w:val="20"/>
          <w:szCs w:val="20"/>
          <w:lang w:eastAsia="pl-PL"/>
        </w:rPr>
        <w:t xml:space="preserve"> przekazuje Zamawiającemu oświadczenie o przynależności lub braku przynależności do tej samej grupy kapitałowej, o której mowa w art. 24 ust. 1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23 ustawy </w:t>
      </w:r>
      <w:proofErr w:type="spellStart"/>
      <w:r w:rsidRPr="00E616DB">
        <w:rPr>
          <w:rFonts w:ascii="Verdana" w:eastAsia="Times New Roman" w:hAnsi="Verdana" w:cs="Times New Roman"/>
          <w:color w:val="000000"/>
          <w:sz w:val="20"/>
          <w:szCs w:val="20"/>
          <w:lang w:eastAsia="pl-PL"/>
        </w:rPr>
        <w:t>Pzp</w:t>
      </w:r>
      <w:proofErr w:type="spellEnd"/>
      <w:r w:rsidRPr="00E616DB">
        <w:rPr>
          <w:rFonts w:ascii="Verdana" w:eastAsia="Times New Roman" w:hAnsi="Verdana" w:cs="Times New Roman"/>
          <w:color w:val="000000"/>
          <w:sz w:val="20"/>
          <w:szCs w:val="20"/>
          <w:lang w:eastAsia="pl-PL"/>
        </w:rPr>
        <w:t xml:space="preserve">. Wraz ze złożeniem oświadczenia, wykonawca może przedstawić dowody, że powiązania z innym wykonawcą nie prowadzą do zakłócenia konkurencji w postępowaniu o udzielenie zamówienia. W celu potwierdzenia braku podstaw do wykluczenia Zamawiający będzie wymagał przedstawienia (od Wykonawcy, którego oferta została najwyżej oceniona): - informacji z Krajowego Rejestru Karnego w zakresie określonym w art. 24 ust. 1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13, 14 i 21 ustawy wystawionej nie wcześniej niż 6 miesięcy przed upływem terminu składania ofert, - oświadczenia (załącznik nr 3 do SIWZ) wykonawcy o: • braku wydania wobec niego prawomocnego wyroku sądu lub </w:t>
      </w:r>
      <w:r w:rsidRPr="00E616DB">
        <w:rPr>
          <w:rFonts w:ascii="Verdana" w:eastAsia="Times New Roman" w:hAnsi="Verdana" w:cs="Times New Roman"/>
          <w:color w:val="000000"/>
          <w:sz w:val="20"/>
          <w:szCs w:val="20"/>
          <w:lang w:eastAsia="pl-PL"/>
        </w:rPr>
        <w:lastRenderedPageBreak/>
        <w:t xml:space="preserve">ostatecznej decyzji administracyjnej o zaleganiu z uiszczaniem podatków, opłat lub składek na ubezpieczenia społeczne lub zdrowotne • braku orzeczenia wobec niego tytułem środka zapobiegawczego zakazu ubiegania się o zamówienia publiczne. Jeżeli Wykonawca ma siedzibę lub miejsce zamieszkania poza terytorium Rzeczpospolitej Polskiej, zamiast dokumentów, o których mowa wyżej,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13, 14 i 21 ustawy. Dokumenty powinny być wystawione nie wcześniej niż 6 miesięcy przed upływem terminu składania ofert. Jeżeli w kraju, w którym Wykonawca ma siedzibę lub miejsce zamieszkania lub miejsce zamieszkania ma osoba, której dokument dotyczy, nie wydaje się dokumentów wskazanych w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2 tiret pierwszy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 przypadku wątpliwości co do treści dokumentu złożonego przez Wykonawcę, zamawiający może zwrócić się do właściwych organów kraju, w którym miejsce zamieszkania ma osoba, której dokument dotyczy, o udzielenie niezbędnych informacji dotyczących tego dokumenty. Wykonawca mający siedzibę na terytorium Rzeczpospolite Polskiej, w odniesieniu do osoby mającej miejsce zamieszkania poza terytorium Rzeczpospolitej Polskiej, której dotyczy dokument wskazany w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2 tiret pierwszy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w:t>
      </w:r>
      <w:proofErr w:type="spellStart"/>
      <w:r w:rsidRPr="00E616DB">
        <w:rPr>
          <w:rFonts w:ascii="Verdana" w:eastAsia="Times New Roman" w:hAnsi="Verdana" w:cs="Times New Roman"/>
          <w:color w:val="000000"/>
          <w:sz w:val="20"/>
          <w:szCs w:val="20"/>
          <w:lang w:eastAsia="pl-PL"/>
        </w:rPr>
        <w:t>pkt</w:t>
      </w:r>
      <w:proofErr w:type="spellEnd"/>
      <w:r w:rsidRPr="00E616DB">
        <w:rPr>
          <w:rFonts w:ascii="Verdana" w:eastAsia="Times New Roman" w:hAnsi="Verdana" w:cs="Times New Roman"/>
          <w:color w:val="000000"/>
          <w:sz w:val="20"/>
          <w:szCs w:val="20"/>
          <w:lang w:eastAsia="pl-PL"/>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Dokumenty powinny być wystawione nie wcześniej niż 6 miesięcy przed upływem terminu składania ofert. W przypadku wątpliwości co do treści dokumentu złożonego przez Wykonawcę, zamawiający może zwrócić się do właściwych organów kraju, w którym miejsce zamieszkania ma osoba, której dokument dotyczy, o </w:t>
      </w:r>
      <w:r w:rsidRPr="00E616DB">
        <w:rPr>
          <w:rFonts w:ascii="Verdana" w:eastAsia="Times New Roman" w:hAnsi="Verdana" w:cs="Times New Roman"/>
          <w:color w:val="000000"/>
          <w:sz w:val="20"/>
          <w:szCs w:val="20"/>
          <w:lang w:eastAsia="pl-PL"/>
        </w:rPr>
        <w:lastRenderedPageBreak/>
        <w:t xml:space="preserve">udzielenie niezbędnych informacji dotyczących tego dokumenty. Pozostałe przesłanki wykluczenia z postępowania, wskazane w art. 24 ust. 1 ustawy </w:t>
      </w:r>
      <w:proofErr w:type="spellStart"/>
      <w:r w:rsidRPr="00E616DB">
        <w:rPr>
          <w:rFonts w:ascii="Verdana" w:eastAsia="Times New Roman" w:hAnsi="Verdana" w:cs="Times New Roman"/>
          <w:color w:val="000000"/>
          <w:sz w:val="20"/>
          <w:szCs w:val="20"/>
          <w:lang w:eastAsia="pl-PL"/>
        </w:rPr>
        <w:t>Pzp</w:t>
      </w:r>
      <w:proofErr w:type="spellEnd"/>
      <w:r w:rsidRPr="00E616DB">
        <w:rPr>
          <w:rFonts w:ascii="Verdana" w:eastAsia="Times New Roman" w:hAnsi="Verdana" w:cs="Times New Roman"/>
          <w:color w:val="000000"/>
          <w:sz w:val="20"/>
          <w:szCs w:val="20"/>
          <w:lang w:eastAsia="pl-PL"/>
        </w:rPr>
        <w:t>, będą oceniane na podstawie oświadczenia Wykonawcy składanego wraz z ofertą (załącznik numer 2 do SIWZ). 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zamówienie. W przypadku wykonawców wspólnie ubiegających się o udzielenie zamówienia, żaden z nich nie może podlegać wykluczeniu. W przypadku wspólnego ubiegania się o zamówienie przez wykonawców, każdy z wykonawców wspólnie ubiegających się o zamówienie składa oświadczenia i dokumenty potwierdzające brak podstaw do wykluczenia (oświadczenie o braku podstaw do wykluczenia oraz oświadczenie dot. przynależności do grupy kapitałowej, jak również dokumenty składane na wezwanie). Oświadczenia te i dokumenty potwierdzają brak podstaw do wykluczenia w zakresie, w którym każdy z wykonawców wykazuje brak podstaw wykluczenia.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III.5.1) W ZAKRESIE SPEŁNIANIA WARUNKÓW UDZIAŁU W POSTĘPOWANIU:</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III.5.2) W ZAKRESIE KRYTERIÓW SELEKCJI:</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 xml:space="preserve">III.7) INNE DOKUMENTY NIE WYMIENIONE W </w:t>
      </w:r>
      <w:proofErr w:type="spellStart"/>
      <w:r w:rsidRPr="00E616DB">
        <w:rPr>
          <w:rFonts w:ascii="Verdana" w:eastAsia="Times New Roman" w:hAnsi="Verdana" w:cs="Times New Roman"/>
          <w:b/>
          <w:bCs/>
          <w:color w:val="000000"/>
          <w:sz w:val="20"/>
          <w:szCs w:val="20"/>
          <w:lang w:eastAsia="pl-PL"/>
        </w:rPr>
        <w:t>pkt</w:t>
      </w:r>
      <w:proofErr w:type="spellEnd"/>
      <w:r w:rsidRPr="00E616DB">
        <w:rPr>
          <w:rFonts w:ascii="Verdana" w:eastAsia="Times New Roman" w:hAnsi="Verdana" w:cs="Times New Roman"/>
          <w:b/>
          <w:bCs/>
          <w:color w:val="000000"/>
          <w:sz w:val="20"/>
          <w:szCs w:val="20"/>
          <w:lang w:eastAsia="pl-PL"/>
        </w:rPr>
        <w:t xml:space="preserve"> III.3) - III.6)</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 xml:space="preserve">Wykaz oświadczeń i dokumentów, które Wykonawca składa wraz z ofertą. 1) wypełniony formularz ofertowy sporządzony z wykorzystaniem wzoru stanowiącego Załącznik nr 1 do SIWZ, zawierający w szczególności: wskazanie oferowanego przedmiotu zamówienia, całkowitą cenę ofertową brutto oraz pozostałe parametry podlegające ocenie, jak również lokalizację parkingu, 2) Do oferty wykonawca dołącza aktualne na dzień składania ofert oświadczenie, że nie podlega wykluczeniu (zgodnie z załącznikiem nr 2 do SIWZ). 3) Jeżeli Wykonawca będzie realizował przedmiot zamówienia z pomocą podwykonawców – oświadczenie o udziale podwykonawców – załącznik nr 5 do SIWZ. 4) Pełnomocnictwa składane w oryginale lub kopii poświadczonej za zgodność z oryginałem przez notariusza: </w:t>
      </w:r>
      <w:r w:rsidRPr="00E616DB">
        <w:rPr>
          <w:rFonts w:ascii="Verdana" w:eastAsia="Times New Roman" w:hAnsi="Verdana" w:cs="Times New Roman"/>
          <w:color w:val="000000"/>
          <w:sz w:val="20"/>
          <w:szCs w:val="20"/>
          <w:lang w:eastAsia="pl-PL"/>
        </w:rPr>
        <w:lastRenderedPageBreak/>
        <w:t>4.1. Pełnomocnictwo upoważniające do złożenia oferty, o ile ofertę składa pełnomocnik. 4.2 Pełnomocnictwo dla pełnomocnika do reprezentowania Wykonawców wspólnie ubiegających się o udzielenie zamówienia – w przypadku ofert składanych przez takich Wykonawców, 4.3. Pełnomocnictwo upoważniające do złożenia oferty przez spółkę cywilną – w przypadku, gdy oferta nie jest podpisana przez wszystkich wspólników. Dokumenty lub oświadczenia sporządzone w języku obcym są składane wraz z tłumaczeniem na język polski.</w:t>
      </w:r>
    </w:p>
    <w:p w:rsidR="00E616DB" w:rsidRPr="00E616DB" w:rsidRDefault="00E616DB" w:rsidP="00E616DB">
      <w:pPr>
        <w:spacing w:after="0" w:line="360" w:lineRule="atLeast"/>
        <w:rPr>
          <w:rFonts w:ascii="Verdana" w:eastAsia="Times New Roman" w:hAnsi="Verdana" w:cs="Times New Roman"/>
          <w:b/>
          <w:bCs/>
          <w:color w:val="000000"/>
          <w:sz w:val="20"/>
          <w:szCs w:val="20"/>
          <w:lang w:eastAsia="pl-PL"/>
        </w:rPr>
      </w:pPr>
      <w:r w:rsidRPr="00E616DB">
        <w:rPr>
          <w:rFonts w:ascii="Verdana" w:eastAsia="Times New Roman" w:hAnsi="Verdana" w:cs="Times New Roman"/>
          <w:b/>
          <w:bCs/>
          <w:color w:val="000000"/>
          <w:sz w:val="20"/>
          <w:szCs w:val="20"/>
          <w:u w:val="single"/>
          <w:lang w:eastAsia="pl-PL"/>
        </w:rPr>
        <w:t>SEKCJA IV: PROCEDURA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IV.1) OPIS</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IV.1.1) Tryb udzielenia zamówienia: </w:t>
      </w:r>
      <w:r w:rsidRPr="00E616DB">
        <w:rPr>
          <w:rFonts w:ascii="Verdana" w:eastAsia="Times New Roman" w:hAnsi="Verdana" w:cs="Times New Roman"/>
          <w:color w:val="000000"/>
          <w:sz w:val="20"/>
          <w:szCs w:val="20"/>
          <w:lang w:eastAsia="pl-PL"/>
        </w:rPr>
        <w:t>Przetarg nieograniczony</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IV.1.2) Zamawiający żąda wniesienia wadium:</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r w:rsidRPr="00E616DB">
        <w:rPr>
          <w:rFonts w:ascii="Verdana" w:eastAsia="Times New Roman" w:hAnsi="Verdana" w:cs="Times New Roman"/>
          <w:color w:val="000000"/>
          <w:sz w:val="20"/>
          <w:szCs w:val="20"/>
          <w:lang w:eastAsia="pl-PL"/>
        </w:rPr>
        <w:br/>
        <w:t>Informacja na temat wadium</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IV.1.3) Przewiduje się udzielenie zaliczek na poczet wykonania zamówienia: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r w:rsidRPr="00E616DB">
        <w:rPr>
          <w:rFonts w:ascii="Verdana" w:eastAsia="Times New Roman" w:hAnsi="Verdana" w:cs="Times New Roman"/>
          <w:color w:val="000000"/>
          <w:sz w:val="20"/>
          <w:szCs w:val="20"/>
          <w:lang w:eastAsia="pl-PL"/>
        </w:rPr>
        <w:br/>
        <w:t>Należy podać informacje na temat udzielania zaliczek:</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IV.1.4) Wymaga się złożenia ofert w postaci katalogów elektronicznych lub dołączenia do ofert katalogów elektronicznych:</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r w:rsidRPr="00E616DB">
        <w:rPr>
          <w:rFonts w:ascii="Verdana" w:eastAsia="Times New Roman" w:hAnsi="Verdana" w:cs="Times New Roman"/>
          <w:color w:val="000000"/>
          <w:sz w:val="20"/>
          <w:szCs w:val="20"/>
          <w:lang w:eastAsia="pl-PL"/>
        </w:rPr>
        <w:br/>
        <w:t>Dopuszcza się złożenie ofert w postaci katalogów elektronicznych lub dołączenia do ofert katalogów elektronicznych:</w:t>
      </w:r>
      <w:r w:rsidRPr="00E616DB">
        <w:rPr>
          <w:rFonts w:ascii="Verdana" w:eastAsia="Times New Roman" w:hAnsi="Verdana" w:cs="Times New Roman"/>
          <w:color w:val="000000"/>
          <w:sz w:val="20"/>
          <w:szCs w:val="20"/>
          <w:lang w:eastAsia="pl-PL"/>
        </w:rPr>
        <w:br/>
        <w:t>Nie</w:t>
      </w:r>
      <w:r w:rsidRPr="00E616DB">
        <w:rPr>
          <w:rFonts w:ascii="Verdana" w:eastAsia="Times New Roman" w:hAnsi="Verdana" w:cs="Times New Roman"/>
          <w:color w:val="000000"/>
          <w:sz w:val="20"/>
          <w:szCs w:val="20"/>
          <w:lang w:eastAsia="pl-PL"/>
        </w:rPr>
        <w:br/>
        <w:t>Informacje dodatkowe:</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IV.1.5.) Wymaga się złożenia oferty wariantowej:</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Nie</w:t>
      </w:r>
      <w:r w:rsidRPr="00E616DB">
        <w:rPr>
          <w:rFonts w:ascii="Verdana" w:eastAsia="Times New Roman" w:hAnsi="Verdana" w:cs="Times New Roman"/>
          <w:color w:val="000000"/>
          <w:sz w:val="20"/>
          <w:szCs w:val="20"/>
          <w:lang w:eastAsia="pl-PL"/>
        </w:rPr>
        <w:br/>
        <w:t>Dopuszcza się złożenie oferty wariantowej</w:t>
      </w:r>
      <w:r w:rsidRPr="00E616DB">
        <w:rPr>
          <w:rFonts w:ascii="Verdana" w:eastAsia="Times New Roman" w:hAnsi="Verdana" w:cs="Times New Roman"/>
          <w:color w:val="000000"/>
          <w:sz w:val="20"/>
          <w:szCs w:val="20"/>
          <w:lang w:eastAsia="pl-PL"/>
        </w:rPr>
        <w:br/>
        <w:t>Nie</w:t>
      </w:r>
      <w:r w:rsidRPr="00E616DB">
        <w:rPr>
          <w:rFonts w:ascii="Verdana" w:eastAsia="Times New Roman" w:hAnsi="Verdana" w:cs="Times New Roman"/>
          <w:color w:val="000000"/>
          <w:sz w:val="20"/>
          <w:szCs w:val="20"/>
          <w:lang w:eastAsia="pl-PL"/>
        </w:rPr>
        <w:br/>
        <w:t>Złożenie oferty wariantowej dopuszcza się tylko z jednoczesnym złożeniem oferty zasadniczej:</w:t>
      </w:r>
      <w:r w:rsidRPr="00E616DB">
        <w:rPr>
          <w:rFonts w:ascii="Verdana" w:eastAsia="Times New Roman" w:hAnsi="Verdana" w:cs="Times New Roman"/>
          <w:color w:val="000000"/>
          <w:sz w:val="20"/>
          <w:szCs w:val="20"/>
          <w:lang w:eastAsia="pl-PL"/>
        </w:rPr>
        <w:br/>
        <w:t>Nie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 xml:space="preserve">IV.1.6) Przewidywana liczba wykonawców, którzy zostaną zaproszeni do </w:t>
      </w:r>
      <w:r w:rsidRPr="00E616DB">
        <w:rPr>
          <w:rFonts w:ascii="Verdana" w:eastAsia="Times New Roman" w:hAnsi="Verdana" w:cs="Times New Roman"/>
          <w:b/>
          <w:bCs/>
          <w:color w:val="000000"/>
          <w:sz w:val="20"/>
          <w:szCs w:val="20"/>
          <w:lang w:eastAsia="pl-PL"/>
        </w:rPr>
        <w:lastRenderedPageBreak/>
        <w:t>udziału w postępowaniu</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i/>
          <w:iCs/>
          <w:color w:val="000000"/>
          <w:sz w:val="20"/>
          <w:szCs w:val="20"/>
          <w:lang w:eastAsia="pl-PL"/>
        </w:rPr>
        <w:t>(przetarg ograniczony, negocjacje z ogłoszeniem, dialog konkurencyjny, partnerstwo innowacyjne)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Liczba wykonawców  </w:t>
      </w:r>
      <w:r w:rsidRPr="00E616DB">
        <w:rPr>
          <w:rFonts w:ascii="Verdana" w:eastAsia="Times New Roman" w:hAnsi="Verdana" w:cs="Times New Roman"/>
          <w:color w:val="000000"/>
          <w:sz w:val="20"/>
          <w:szCs w:val="20"/>
          <w:lang w:eastAsia="pl-PL"/>
        </w:rPr>
        <w:br/>
        <w:t>Przewidywana minimalna liczba wykonawców</w:t>
      </w:r>
      <w:r w:rsidRPr="00E616DB">
        <w:rPr>
          <w:rFonts w:ascii="Verdana" w:eastAsia="Times New Roman" w:hAnsi="Verdana" w:cs="Times New Roman"/>
          <w:color w:val="000000"/>
          <w:sz w:val="20"/>
          <w:szCs w:val="20"/>
          <w:lang w:eastAsia="pl-PL"/>
        </w:rPr>
        <w:br/>
        <w:t>Maksymalna liczba wykonawców  </w:t>
      </w:r>
      <w:r w:rsidRPr="00E616DB">
        <w:rPr>
          <w:rFonts w:ascii="Verdana" w:eastAsia="Times New Roman" w:hAnsi="Verdana" w:cs="Times New Roman"/>
          <w:color w:val="000000"/>
          <w:sz w:val="20"/>
          <w:szCs w:val="20"/>
          <w:lang w:eastAsia="pl-PL"/>
        </w:rPr>
        <w:br/>
        <w:t>Kryteria selekcji wykonawców:</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IV.1.7) Informacje na temat umowy ramowej lub dynamicznego systemu zakupów:</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Umowa ramowa będzie zawarta: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Czy przewiduje się ograniczenie liczby uczestników umowy ramowej:</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Przewidziana maksymalna liczba uczestników umowy ramowej:</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Informacje dodatkowe: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Zamówienie obejmuje ustanowienie dynamicznego systemu zakupów:</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Adres strony internetowej, na której będą zamieszczone dodatkowe informacje dotyczące dynamicznego systemu zakupów:</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Informacje dodatkowe: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W ramach umowy ramowej/dynamicznego systemu zakupów dopuszcza się złożenie ofert w formie katalogów elektronicznych:</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Przewiduje się pobranie ze złożonych katalogów elektronicznych informacji potrzebnych do sporządzenia ofert w ramach umowy ramowej/dynamicznego systemu zakupów:</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IV.1.8) Aukcja elektroniczna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Przewidziane jest przeprowadzenie aukcji elektronicznej </w:t>
      </w:r>
      <w:r w:rsidRPr="00E616DB">
        <w:rPr>
          <w:rFonts w:ascii="Verdana" w:eastAsia="Times New Roman" w:hAnsi="Verdana" w:cs="Times New Roman"/>
          <w:i/>
          <w:iCs/>
          <w:color w:val="000000"/>
          <w:sz w:val="20"/>
          <w:szCs w:val="20"/>
          <w:lang w:eastAsia="pl-PL"/>
        </w:rPr>
        <w:t>(przetarg nieograniczony, przetarg ograniczony, negocjacje z ogłoszeniem) </w:t>
      </w:r>
      <w:r w:rsidRPr="00E616DB">
        <w:rPr>
          <w:rFonts w:ascii="Verdana" w:eastAsia="Times New Roman" w:hAnsi="Verdana" w:cs="Times New Roman"/>
          <w:color w:val="000000"/>
          <w:sz w:val="20"/>
          <w:szCs w:val="20"/>
          <w:lang w:eastAsia="pl-PL"/>
        </w:rPr>
        <w:t>Nie</w:t>
      </w:r>
      <w:r w:rsidRPr="00E616DB">
        <w:rPr>
          <w:rFonts w:ascii="Verdana" w:eastAsia="Times New Roman" w:hAnsi="Verdana" w:cs="Times New Roman"/>
          <w:color w:val="000000"/>
          <w:sz w:val="20"/>
          <w:szCs w:val="20"/>
          <w:lang w:eastAsia="pl-PL"/>
        </w:rPr>
        <w:br/>
        <w:t>Należy podać adres strony internetowej, na której aukcja będzie prowadzona: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lastRenderedPageBreak/>
        <w:t>Należy wskazać elementy, których wartości będą przedmiotem aukcji elektronicznej:</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Przewiduje się ograniczenia co do przedstawionych wartości, wynikające z opisu przedmiotu zamówienia: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Należy podać, które informacje zostaną udostępnione wykonawcom w trakcie aukcji elektronicznej oraz jaki będzie termin ich udostępnienia:</w:t>
      </w:r>
      <w:r w:rsidRPr="00E616DB">
        <w:rPr>
          <w:rFonts w:ascii="Verdana" w:eastAsia="Times New Roman" w:hAnsi="Verdana" w:cs="Times New Roman"/>
          <w:color w:val="000000"/>
          <w:sz w:val="20"/>
          <w:szCs w:val="20"/>
          <w:lang w:eastAsia="pl-PL"/>
        </w:rPr>
        <w:br/>
        <w:t>Informacje dotyczące przebiegu aukcji elektronicznej:</w:t>
      </w:r>
      <w:r w:rsidRPr="00E616DB">
        <w:rPr>
          <w:rFonts w:ascii="Verdana" w:eastAsia="Times New Roman" w:hAnsi="Verdana" w:cs="Times New Roman"/>
          <w:color w:val="000000"/>
          <w:sz w:val="20"/>
          <w:szCs w:val="20"/>
          <w:lang w:eastAsia="pl-PL"/>
        </w:rPr>
        <w:br/>
        <w:t>Jaki jest przewidziany sposób postępowania w toku aukcji elektronicznej i jakie będą warunki, na jakich wykonawcy będą mogli licytować (minimalne wysokości postąpień):</w:t>
      </w:r>
      <w:r w:rsidRPr="00E616DB">
        <w:rPr>
          <w:rFonts w:ascii="Verdana" w:eastAsia="Times New Roman" w:hAnsi="Verdana" w:cs="Times New Roman"/>
          <w:color w:val="000000"/>
          <w:sz w:val="20"/>
          <w:szCs w:val="20"/>
          <w:lang w:eastAsia="pl-PL"/>
        </w:rPr>
        <w:br/>
        <w:t>Informacje dotyczące wykorzystywanego sprzętu elektronicznego, rozwiązań i specyfikacji technicznych w zakresie połączeń:</w:t>
      </w:r>
      <w:r w:rsidRPr="00E616DB">
        <w:rPr>
          <w:rFonts w:ascii="Verdana" w:eastAsia="Times New Roman" w:hAnsi="Verdana" w:cs="Times New Roman"/>
          <w:color w:val="000000"/>
          <w:sz w:val="20"/>
          <w:szCs w:val="20"/>
          <w:lang w:eastAsia="pl-PL"/>
        </w:rPr>
        <w:br/>
        <w:t>Wymagania dotyczące rejestracji i identyfikacji wykonawców w aukcji elektronicznej:</w:t>
      </w:r>
      <w:r w:rsidRPr="00E616DB">
        <w:rPr>
          <w:rFonts w:ascii="Verdana" w:eastAsia="Times New Roman" w:hAnsi="Verdana" w:cs="Times New Roman"/>
          <w:color w:val="000000"/>
          <w:sz w:val="20"/>
          <w:szCs w:val="20"/>
          <w:lang w:eastAsia="pl-PL"/>
        </w:rPr>
        <w:br/>
        <w:t>Informacje o liczbie etapów aukcji elektronicznej i czasie ich trwania: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t>Czas trwania: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Czy wykonawcy, którzy nie złożyli nowych postąpień, zostaną zakwalifikowani do następnego etapu:</w:t>
      </w:r>
      <w:r w:rsidRPr="00E616DB">
        <w:rPr>
          <w:rFonts w:ascii="Verdana" w:eastAsia="Times New Roman" w:hAnsi="Verdana" w:cs="Times New Roman"/>
          <w:color w:val="000000"/>
          <w:sz w:val="20"/>
          <w:szCs w:val="20"/>
          <w:lang w:eastAsia="pl-PL"/>
        </w:rPr>
        <w:br/>
        <w:t>Warunki zamknięcia aukcji elektronicznej:</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IV.2) KRYTERIA OCENY OFERT</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IV.2.1) Kryteria oceny ofert:</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IV.2.2) Kryteria</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3407D6" w:rsidP="00E616DB">
            <w:pPr>
              <w:spacing w:after="0" w:line="24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zatrudnienie 1 osoby ochraniają</w:t>
            </w:r>
            <w:r w:rsidR="00E616DB" w:rsidRPr="00E616DB">
              <w:rPr>
                <w:rFonts w:ascii="Verdana" w:eastAsia="Times New Roman" w:hAnsi="Verdana" w:cs="Times New Roman"/>
                <w:sz w:val="20"/>
                <w:szCs w:val="20"/>
                <w:lang w:eastAsia="pl-PL"/>
              </w:rPr>
              <w:t>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 xml:space="preserve">IV.2.3) Zastosowanie procedury, o której mowa w art. 24aa ust. 1 ustawy </w:t>
      </w:r>
      <w:proofErr w:type="spellStart"/>
      <w:r w:rsidRPr="00E616DB">
        <w:rPr>
          <w:rFonts w:ascii="Verdana" w:eastAsia="Times New Roman" w:hAnsi="Verdana" w:cs="Times New Roman"/>
          <w:b/>
          <w:bCs/>
          <w:color w:val="000000"/>
          <w:sz w:val="20"/>
          <w:szCs w:val="20"/>
          <w:lang w:eastAsia="pl-PL"/>
        </w:rPr>
        <w:t>Pzp</w:t>
      </w:r>
      <w:proofErr w:type="spellEnd"/>
      <w:r w:rsidRPr="00E616DB">
        <w:rPr>
          <w:rFonts w:ascii="Verdana" w:eastAsia="Times New Roman" w:hAnsi="Verdana" w:cs="Times New Roman"/>
          <w:b/>
          <w:bCs/>
          <w:color w:val="000000"/>
          <w:sz w:val="20"/>
          <w:szCs w:val="20"/>
          <w:lang w:eastAsia="pl-PL"/>
        </w:rPr>
        <w:t> </w:t>
      </w:r>
      <w:r w:rsidRPr="00E616DB">
        <w:rPr>
          <w:rFonts w:ascii="Verdana" w:eastAsia="Times New Roman" w:hAnsi="Verdana" w:cs="Times New Roman"/>
          <w:color w:val="000000"/>
          <w:sz w:val="20"/>
          <w:szCs w:val="20"/>
          <w:lang w:eastAsia="pl-PL"/>
        </w:rPr>
        <w:t>(przetarg nieograniczony)</w:t>
      </w:r>
      <w:r w:rsidRPr="00E616DB">
        <w:rPr>
          <w:rFonts w:ascii="Verdana" w:eastAsia="Times New Roman" w:hAnsi="Verdana" w:cs="Times New Roman"/>
          <w:color w:val="000000"/>
          <w:sz w:val="20"/>
          <w:szCs w:val="20"/>
          <w:lang w:eastAsia="pl-PL"/>
        </w:rPr>
        <w:br/>
        <w:t>Tak</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IV.3) Negocjacje z ogłoszeniem, dialog konkurencyjny, partnerstwo innowacyjne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IV.3.1) Informacje na temat negocjacji z ogłoszeniem</w:t>
      </w:r>
      <w:r w:rsidRPr="00E616DB">
        <w:rPr>
          <w:rFonts w:ascii="Verdana" w:eastAsia="Times New Roman" w:hAnsi="Verdana" w:cs="Times New Roman"/>
          <w:color w:val="000000"/>
          <w:sz w:val="20"/>
          <w:szCs w:val="20"/>
          <w:lang w:eastAsia="pl-PL"/>
        </w:rPr>
        <w:br/>
        <w:t>Minimalne wymagania, które muszą spełniać wszystkie oferty:</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lastRenderedPageBreak/>
        <w:t>Przewidziane jest zastrzeżenie prawa do udzielenia zamówienia na podstawie ofert wstępnych bez przeprowadzenia negocjacji</w:t>
      </w:r>
      <w:r w:rsidRPr="00E616DB">
        <w:rPr>
          <w:rFonts w:ascii="Verdana" w:eastAsia="Times New Roman" w:hAnsi="Verdana" w:cs="Times New Roman"/>
          <w:color w:val="000000"/>
          <w:sz w:val="20"/>
          <w:szCs w:val="20"/>
          <w:lang w:eastAsia="pl-PL"/>
        </w:rPr>
        <w:br/>
        <w:t>Przewidziany jest podział negocjacji na etapy w celu ograniczenia liczby ofert:</w:t>
      </w:r>
      <w:r w:rsidRPr="00E616DB">
        <w:rPr>
          <w:rFonts w:ascii="Verdana" w:eastAsia="Times New Roman" w:hAnsi="Verdana" w:cs="Times New Roman"/>
          <w:color w:val="000000"/>
          <w:sz w:val="20"/>
          <w:szCs w:val="20"/>
          <w:lang w:eastAsia="pl-PL"/>
        </w:rPr>
        <w:br/>
        <w:t>Należy podać informacje na temat etapów negocjacji (w tym liczbę etapów):</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Informacje dodatkowe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IV.3.2) Informacje na temat dialogu konkurencyjnego</w:t>
      </w:r>
      <w:r w:rsidRPr="00E616DB">
        <w:rPr>
          <w:rFonts w:ascii="Verdana" w:eastAsia="Times New Roman" w:hAnsi="Verdana" w:cs="Times New Roman"/>
          <w:color w:val="000000"/>
          <w:sz w:val="20"/>
          <w:szCs w:val="20"/>
          <w:lang w:eastAsia="pl-PL"/>
        </w:rPr>
        <w:br/>
        <w:t>Opis potrzeb i wymagań zamawiającego lub informacja o sposobie uzyskania tego opisu:</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Wstępny harmonogram postępowania: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Podział dialogu na etapy w celu ograniczenia liczby rozwiązań:</w:t>
      </w:r>
      <w:r w:rsidRPr="00E616DB">
        <w:rPr>
          <w:rFonts w:ascii="Verdana" w:eastAsia="Times New Roman" w:hAnsi="Verdana" w:cs="Times New Roman"/>
          <w:color w:val="000000"/>
          <w:sz w:val="20"/>
          <w:szCs w:val="20"/>
          <w:lang w:eastAsia="pl-PL"/>
        </w:rPr>
        <w:br/>
        <w:t>Należy podać informacje na temat etapów dialogu:</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Informacje dodatkowe: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IV.3.3) Informacje na temat partnerstwa innowacyjnego</w:t>
      </w:r>
      <w:r w:rsidRPr="00E616DB">
        <w:rPr>
          <w:rFonts w:ascii="Verdana" w:eastAsia="Times New Roman" w:hAnsi="Verdana" w:cs="Times New Roman"/>
          <w:color w:val="000000"/>
          <w:sz w:val="20"/>
          <w:szCs w:val="20"/>
          <w:lang w:eastAsia="pl-PL"/>
        </w:rPr>
        <w:br/>
        <w:t>Elementy opisu przedmiotu zamówienia definiujące minimalne wymagania, którym muszą odpowiadać wszystkie oferty:</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Informacje dodatkowe: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IV.4) Licytacja elektroniczna</w:t>
      </w:r>
      <w:r w:rsidRPr="00E616DB">
        <w:rPr>
          <w:rFonts w:ascii="Verdana" w:eastAsia="Times New Roman" w:hAnsi="Verdana" w:cs="Times New Roman"/>
          <w:color w:val="000000"/>
          <w:sz w:val="20"/>
          <w:szCs w:val="20"/>
          <w:lang w:eastAsia="pl-PL"/>
        </w:rPr>
        <w:br/>
        <w:t>Adres strony internetowej, na której będzie prowadzona licytacja elektroniczna: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Adres strony internetowej, na której jest dostępny opis przedmiotu zamówienia w licytacji elektronicznej:</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Wymagania dotyczące rejestracji i identyfikacji wykonawców w licytacji elektronicznej, w tym wymagania techniczne urządzeń informatycznych:</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lastRenderedPageBreak/>
        <w:t>Sposób postępowania w toku licytacji elektronicznej, w tym określenie minimalnych wysokości postąpień:</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Informacje o liczbie etapów licytacji elektronicznej i czasie ich trwania:</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Czas trwania: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Wykonawcy, którzy nie złożyli nowych postąpień, zostaną zakwalifikowani do następnego etapu:</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Termin składania wniosków o dopuszczenie do udziału w licytacji elektronicznej:</w:t>
      </w:r>
      <w:r w:rsidRPr="00E616DB">
        <w:rPr>
          <w:rFonts w:ascii="Verdana" w:eastAsia="Times New Roman" w:hAnsi="Verdana" w:cs="Times New Roman"/>
          <w:color w:val="000000"/>
          <w:sz w:val="20"/>
          <w:szCs w:val="20"/>
          <w:lang w:eastAsia="pl-PL"/>
        </w:rPr>
        <w:br/>
        <w:t>Data: godzina:</w:t>
      </w:r>
      <w:r w:rsidRPr="00E616DB">
        <w:rPr>
          <w:rFonts w:ascii="Verdana" w:eastAsia="Times New Roman" w:hAnsi="Verdana" w:cs="Times New Roman"/>
          <w:color w:val="000000"/>
          <w:sz w:val="20"/>
          <w:szCs w:val="20"/>
          <w:lang w:eastAsia="pl-PL"/>
        </w:rPr>
        <w:br/>
        <w:t>Termin otwarcia licytacji elektronicznej:</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t>Termin i warunki zamknięcia licytacji elektronicznej:</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t>Istotne dla stron postanowienia, które zostaną wprowadzone do treści zawieranej umowy w sprawie zamówienia publicznego, albo ogólne warunki umowy, albo wzór umowy:</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t>Wymagania dotyczące zabezpieczenia należytego wykonania umowy:</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t>Informacje dodatkowe:</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IV.5) ZMIANA UMOWY</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Przewiduje się istotne zmiany postanowień zawartej umowy w stosunku do treści oferty, na podstawie której dokonano wyboru wykonawcy:</w:t>
      </w:r>
      <w:r w:rsidRPr="00E616DB">
        <w:rPr>
          <w:rFonts w:ascii="Verdana" w:eastAsia="Times New Roman" w:hAnsi="Verdana" w:cs="Times New Roman"/>
          <w:color w:val="000000"/>
          <w:sz w:val="20"/>
          <w:szCs w:val="20"/>
          <w:lang w:eastAsia="pl-PL"/>
        </w:rPr>
        <w:t> Tak</w:t>
      </w:r>
      <w:r w:rsidRPr="00E616DB">
        <w:rPr>
          <w:rFonts w:ascii="Verdana" w:eastAsia="Times New Roman" w:hAnsi="Verdana" w:cs="Times New Roman"/>
          <w:color w:val="000000"/>
          <w:sz w:val="20"/>
          <w:szCs w:val="20"/>
          <w:lang w:eastAsia="pl-PL"/>
        </w:rPr>
        <w:br/>
        <w:t>Należy wskazać zakres, charakter zmian oraz warunki wprowadzenia zmian:</w:t>
      </w:r>
      <w:r w:rsidRPr="00E616DB">
        <w:rPr>
          <w:rFonts w:ascii="Verdana" w:eastAsia="Times New Roman" w:hAnsi="Verdana" w:cs="Times New Roman"/>
          <w:color w:val="000000"/>
          <w:sz w:val="20"/>
          <w:szCs w:val="20"/>
          <w:lang w:eastAsia="pl-PL"/>
        </w:rPr>
        <w:br/>
        <w:t>Zamawiający, przewiduje następujące możliwości dokonania zmiany zawartej umowy w stosunku do treści oferty na podstawie, której dokonano wyboru Wykonawcy, w przypadku wystąpienia co najmniej jednej z okoliczności wymienionych poniżej, z uwzględnieniem podawanych warunków ich wprowadzenia: W przypadku zmian w prawie dotyczących: a) stawki podatku od towarów i usług, b) wysokości minimalnego wynagrodzenia za pracę albo wysokości minimalnej stawki godzinowej, ustalonych na podstawie przepisów ustawy z dnia 10 października 2002 r. o minimalnym wynagrodzeniu za pracę. c) Zasad podlegania ubezpieczeniom społecznym lub ubezpieczeniu zdrowotnemu lub wysokości stawki składki na ubezpieczenia społeczne lub zdrowotne, d) zmiany zasad gromadzenia i wysokości wpłat do pracowniczych planów kapitałowych, o których mowa w ustawie z dnia 4 października 2018 r. o pracowniczych planach kapitałowych. - jeżeli zmiany te będą miały wpływ na koszty wykonania przez wykonawcę zamówienia publicznego, Wykonawca jak również Zamawiający będzie mógł zwrócić się do Zamawiającego lub Wykonawcy w terminie 7 dni od wystąpienia ww. zmian, o dokonanie stosownej zmiany w treści umowy.</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IV.6) INFORMACJE ADMINISTRACYJNE</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lastRenderedPageBreak/>
        <w:br/>
      </w:r>
      <w:r w:rsidRPr="00E616DB">
        <w:rPr>
          <w:rFonts w:ascii="Verdana" w:eastAsia="Times New Roman" w:hAnsi="Verdana" w:cs="Times New Roman"/>
          <w:b/>
          <w:bCs/>
          <w:color w:val="000000"/>
          <w:sz w:val="20"/>
          <w:szCs w:val="20"/>
          <w:lang w:eastAsia="pl-PL"/>
        </w:rPr>
        <w:t>IV.6.1) Sposób udostępniania informacji o charakterze poufnym </w:t>
      </w:r>
      <w:r w:rsidRPr="00E616DB">
        <w:rPr>
          <w:rFonts w:ascii="Verdana" w:eastAsia="Times New Roman" w:hAnsi="Verdana" w:cs="Times New Roman"/>
          <w:i/>
          <w:iCs/>
          <w:color w:val="000000"/>
          <w:sz w:val="20"/>
          <w:szCs w:val="20"/>
          <w:lang w:eastAsia="pl-PL"/>
        </w:rPr>
        <w:t>(jeżeli dotyczy):</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Środki służące ochronie informacji o charakterze poufnym</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IV.6.2) Termin składania ofert lub wniosków o dopuszczenie do udziału w postępowaniu:</w:t>
      </w:r>
      <w:r w:rsidRPr="00E616DB">
        <w:rPr>
          <w:rFonts w:ascii="Verdana" w:eastAsia="Times New Roman" w:hAnsi="Verdana" w:cs="Times New Roman"/>
          <w:color w:val="000000"/>
          <w:sz w:val="20"/>
          <w:szCs w:val="20"/>
          <w:lang w:eastAsia="pl-PL"/>
        </w:rPr>
        <w:br/>
        <w:t>Data: 2020-06-16, godzina: 11:00,</w:t>
      </w:r>
      <w:r w:rsidRPr="00E616DB">
        <w:rPr>
          <w:rFonts w:ascii="Verdana" w:eastAsia="Times New Roman" w:hAnsi="Verdana" w:cs="Times New Roman"/>
          <w:color w:val="000000"/>
          <w:sz w:val="20"/>
          <w:szCs w:val="20"/>
          <w:lang w:eastAsia="pl-PL"/>
        </w:rPr>
        <w:br/>
        <w:t>Skrócenie terminu składania wniosków, ze względu na pilną potrzebę udzielenia zamówienia (przetarg nieograniczony, przetarg ograniczony, negocjacje z ogłoszeniem):</w:t>
      </w:r>
      <w:r w:rsidRPr="00E616DB">
        <w:rPr>
          <w:rFonts w:ascii="Verdana" w:eastAsia="Times New Roman" w:hAnsi="Verdana" w:cs="Times New Roman"/>
          <w:color w:val="000000"/>
          <w:sz w:val="20"/>
          <w:szCs w:val="20"/>
          <w:lang w:eastAsia="pl-PL"/>
        </w:rPr>
        <w:br/>
        <w:t>Nie</w:t>
      </w:r>
      <w:r w:rsidRPr="00E616DB">
        <w:rPr>
          <w:rFonts w:ascii="Verdana" w:eastAsia="Times New Roman" w:hAnsi="Verdana" w:cs="Times New Roman"/>
          <w:color w:val="000000"/>
          <w:sz w:val="20"/>
          <w:szCs w:val="20"/>
          <w:lang w:eastAsia="pl-PL"/>
        </w:rPr>
        <w:br/>
        <w:t>Wskazać powody:</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t>Język lub języki, w jakich mogą być sporządzane oferty lub wnioski o dopuszczenie do udziału w postępowaniu</w:t>
      </w:r>
      <w:r w:rsidRPr="00E616DB">
        <w:rPr>
          <w:rFonts w:ascii="Verdana" w:eastAsia="Times New Roman" w:hAnsi="Verdana" w:cs="Times New Roman"/>
          <w:color w:val="000000"/>
          <w:sz w:val="20"/>
          <w:szCs w:val="20"/>
          <w:lang w:eastAsia="pl-PL"/>
        </w:rPr>
        <w:br/>
        <w:t>&gt;</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IV.6.3) Termin związania ofertą: </w:t>
      </w:r>
      <w:r w:rsidRPr="00E616DB">
        <w:rPr>
          <w:rFonts w:ascii="Verdana" w:eastAsia="Times New Roman" w:hAnsi="Verdana" w:cs="Times New Roman"/>
          <w:color w:val="000000"/>
          <w:sz w:val="20"/>
          <w:szCs w:val="20"/>
          <w:lang w:eastAsia="pl-PL"/>
        </w:rPr>
        <w:t>do: okres w dniach: 30 (od ostatecznego terminu składania ofert)</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IV.6.4) Przewiduje się unieważnienie postępowania o udzielenie zamówienia, w przypadku nieprzyznania środków, które miały być przeznaczone na sfinansowanie całości lub części zamówienia:</w:t>
      </w:r>
      <w:r w:rsidRPr="00E616DB">
        <w:rPr>
          <w:rFonts w:ascii="Verdana" w:eastAsia="Times New Roman" w:hAnsi="Verdana" w:cs="Times New Roman"/>
          <w:color w:val="000000"/>
          <w:sz w:val="20"/>
          <w:szCs w:val="20"/>
          <w:lang w:eastAsia="pl-PL"/>
        </w:rPr>
        <w:t> Tak</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IV.6.5) Informacje dodatkowe:</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0" w:line="360" w:lineRule="atLeast"/>
        <w:jc w:val="center"/>
        <w:rPr>
          <w:rFonts w:ascii="Verdana" w:eastAsia="Times New Roman" w:hAnsi="Verdana" w:cs="Times New Roman"/>
          <w:b/>
          <w:bCs/>
          <w:color w:val="000000"/>
          <w:sz w:val="20"/>
          <w:szCs w:val="20"/>
          <w:lang w:eastAsia="pl-PL"/>
        </w:rPr>
      </w:pPr>
      <w:r w:rsidRPr="00E616DB">
        <w:rPr>
          <w:rFonts w:ascii="Verdana" w:eastAsia="Times New Roman" w:hAnsi="Verdana" w:cs="Times New Roman"/>
          <w:b/>
          <w:bCs/>
          <w:color w:val="000000"/>
          <w:sz w:val="20"/>
          <w:szCs w:val="20"/>
          <w:u w:val="single"/>
          <w:lang w:eastAsia="pl-PL"/>
        </w:rPr>
        <w:t>ZAŁĄCZNIK I - INFORMACJE DOTYCZĄCE OFERT CZĘŚCIOWYCH</w:t>
      </w: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p>
    <w:p w:rsidR="00E616DB" w:rsidRPr="00E616DB" w:rsidRDefault="00E616DB" w:rsidP="00E616DB">
      <w:pPr>
        <w:spacing w:after="0" w:line="360" w:lineRule="atLeast"/>
        <w:rPr>
          <w:rFonts w:ascii="Verdana" w:eastAsia="Times New Roman" w:hAnsi="Verdana"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tblPr>
      <w:tblGrid>
        <w:gridCol w:w="908"/>
        <w:gridCol w:w="188"/>
        <w:gridCol w:w="893"/>
        <w:gridCol w:w="7173"/>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Bolesławcu</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Bolesławcu Orientacyjna ilość dób przechowywania depozytów poniżej 3,5 tony – 550; Orientacyjna ilość dób przechowywania depozytów powyżej 3,5 tony – 500.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 xml:space="preserve">3) Wartość części zamówienia(jeżeli zamawiający podaje informacje o wartości </w:t>
      </w:r>
      <w:r w:rsidRPr="00E616DB">
        <w:rPr>
          <w:rFonts w:ascii="Verdana" w:eastAsia="Times New Roman" w:hAnsi="Verdana" w:cs="Times New Roman"/>
          <w:b/>
          <w:bCs/>
          <w:color w:val="000000"/>
          <w:sz w:val="20"/>
          <w:szCs w:val="20"/>
          <w:lang w:eastAsia="pl-PL"/>
        </w:rPr>
        <w:lastRenderedPageBreak/>
        <w:t>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bolesławieckiego.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03"/>
        <w:gridCol w:w="188"/>
        <w:gridCol w:w="893"/>
        <w:gridCol w:w="7178"/>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2</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Dzierżoniowie</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Dzierżoniowie Orientacyjna ilość dób przechowywania depozytów poniżej 3,5 tony – 1030; Orientacyjna ilość dób przechowywania depozytów powyżej 3,5 tony – 240.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lastRenderedPageBreak/>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dzierżoniowskiego.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18"/>
        <w:gridCol w:w="188"/>
        <w:gridCol w:w="893"/>
        <w:gridCol w:w="7163"/>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Górze</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Górze Orientacyjna ilość dób przechowywania depozytów poniżej 3,5 tony – 100; Orientacyjna ilość dób przechowywania depozytów powyżej 3,5 tony – 30.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 xml:space="preserve">zatrudnienie 1 osoby ochraniającej parking na podstawie umowy o pracę w </w:t>
            </w:r>
            <w:r w:rsidRPr="00E616DB">
              <w:rPr>
                <w:rFonts w:ascii="Verdana" w:eastAsia="Times New Roman" w:hAnsi="Verdana" w:cs="Times New Roman"/>
                <w:sz w:val="20"/>
                <w:szCs w:val="20"/>
                <w:lang w:eastAsia="pl-PL"/>
              </w:rPr>
              <w:lastRenderedPageBreak/>
              <w:t>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lastRenderedPageBreak/>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lastRenderedPageBreak/>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górowskiego.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897"/>
        <w:gridCol w:w="188"/>
        <w:gridCol w:w="893"/>
        <w:gridCol w:w="7184"/>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4</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Kamiennej Górze</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Kamiennej Górze Orientacyjna ilość dób przechowywania depozytów poniżej 3,5 tony – 300; Orientacyjna ilość dób przechowywania depozytów powyżej 3,5 tony – 60.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kamiennogórskiego.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12"/>
        <w:gridCol w:w="188"/>
        <w:gridCol w:w="893"/>
        <w:gridCol w:w="7169"/>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 xml:space="preserve">Część </w:t>
            </w:r>
            <w:r w:rsidRPr="00E616DB">
              <w:rPr>
                <w:rFonts w:ascii="Verdana" w:eastAsia="Times New Roman" w:hAnsi="Verdana" w:cs="Times New Roman"/>
                <w:b/>
                <w:bCs/>
                <w:sz w:val="20"/>
                <w:szCs w:val="20"/>
                <w:lang w:eastAsia="pl-PL"/>
              </w:rPr>
              <w:lastRenderedPageBreak/>
              <w:t>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lastRenderedPageBreak/>
              <w:t>5</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 xml:space="preserve">Usługi parkowania pojazdów zabezpieczonych przez Policję do celów </w:t>
            </w:r>
            <w:r w:rsidRPr="00E616DB">
              <w:rPr>
                <w:rFonts w:ascii="Verdana" w:eastAsia="Times New Roman" w:hAnsi="Verdana" w:cs="Times New Roman"/>
                <w:sz w:val="20"/>
                <w:szCs w:val="20"/>
                <w:lang w:eastAsia="pl-PL"/>
              </w:rPr>
              <w:lastRenderedPageBreak/>
              <w:t>procesowych na terenie podległym KPP w Lubaniu.</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lastRenderedPageBreak/>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Lubaniu Orientacyjna ilość dób przechowywania depozytów poniżej 3,5 tony – 800; Orientacyjna ilość dób przechowywania depozytów powyżej 3,5 tony – 80.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 xml:space="preserve">6) INFORMACJE </w:t>
      </w:r>
      <w:proofErr w:type="spellStart"/>
      <w:r w:rsidRPr="00E616DB">
        <w:rPr>
          <w:rFonts w:ascii="Verdana" w:eastAsia="Times New Roman" w:hAnsi="Verdana" w:cs="Times New Roman"/>
          <w:b/>
          <w:bCs/>
          <w:color w:val="000000"/>
          <w:sz w:val="20"/>
          <w:szCs w:val="20"/>
          <w:lang w:eastAsia="pl-PL"/>
        </w:rPr>
        <w:t>DODATKOWE:</w:t>
      </w:r>
      <w:r w:rsidRPr="00E616DB">
        <w:rPr>
          <w:rFonts w:ascii="Verdana" w:eastAsia="Times New Roman" w:hAnsi="Verdana" w:cs="Times New Roman"/>
          <w:color w:val="000000"/>
          <w:sz w:val="20"/>
          <w:szCs w:val="20"/>
          <w:lang w:eastAsia="pl-PL"/>
        </w:rPr>
        <w:t>Miejsce</w:t>
      </w:r>
      <w:proofErr w:type="spellEnd"/>
      <w:r w:rsidRPr="00E616DB">
        <w:rPr>
          <w:rFonts w:ascii="Verdana" w:eastAsia="Times New Roman" w:hAnsi="Verdana" w:cs="Times New Roman"/>
          <w:color w:val="000000"/>
          <w:sz w:val="20"/>
          <w:szCs w:val="20"/>
          <w:lang w:eastAsia="pl-PL"/>
        </w:rPr>
        <w:t xml:space="preserve"> wykonywania usługi: teren powiatu lubańskiego.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07"/>
        <w:gridCol w:w="188"/>
        <w:gridCol w:w="893"/>
        <w:gridCol w:w="7174"/>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Lwówku Śl.</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xml:space="preserve"> a w przypadku partnerstwa innowacyjnego -określenie zapotrzebowania na innowacyjny produkt, usługę lub roboty </w:t>
      </w:r>
      <w:proofErr w:type="spellStart"/>
      <w:r w:rsidRPr="00E616DB">
        <w:rPr>
          <w:rFonts w:ascii="Verdana" w:eastAsia="Times New Roman" w:hAnsi="Verdana" w:cs="Times New Roman"/>
          <w:b/>
          <w:bCs/>
          <w:color w:val="000000"/>
          <w:sz w:val="20"/>
          <w:szCs w:val="20"/>
          <w:lang w:eastAsia="pl-PL"/>
        </w:rPr>
        <w:t>budowlane:</w:t>
      </w:r>
      <w:r w:rsidRPr="00E616DB">
        <w:rPr>
          <w:rFonts w:ascii="Verdana" w:eastAsia="Times New Roman" w:hAnsi="Verdana" w:cs="Times New Roman"/>
          <w:color w:val="000000"/>
          <w:sz w:val="20"/>
          <w:szCs w:val="20"/>
          <w:lang w:eastAsia="pl-PL"/>
        </w:rPr>
        <w:t>Usługi</w:t>
      </w:r>
      <w:proofErr w:type="spellEnd"/>
      <w:r w:rsidRPr="00E616DB">
        <w:rPr>
          <w:rFonts w:ascii="Verdana" w:eastAsia="Times New Roman" w:hAnsi="Verdana" w:cs="Times New Roman"/>
          <w:color w:val="000000"/>
          <w:sz w:val="20"/>
          <w:szCs w:val="20"/>
          <w:lang w:eastAsia="pl-PL"/>
        </w:rPr>
        <w:t xml:space="preserve"> parkowania pojazdów zabezpieczonych przez Policję do celów procesowych na terenie podległym KPP w Lwówku Śl. Orientacyjna ilość dób przechowywania depozytów poniżej 3,5 tony – 150; Orientacyjna ilość dób </w:t>
      </w:r>
      <w:r w:rsidRPr="00E616DB">
        <w:rPr>
          <w:rFonts w:ascii="Verdana" w:eastAsia="Times New Roman" w:hAnsi="Verdana" w:cs="Times New Roman"/>
          <w:color w:val="000000"/>
          <w:sz w:val="20"/>
          <w:szCs w:val="20"/>
          <w:lang w:eastAsia="pl-PL"/>
        </w:rPr>
        <w:lastRenderedPageBreak/>
        <w:t>przechowywania depozytów powyżej 3,5 tony – 50.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lwóweckiego.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15"/>
        <w:gridCol w:w="188"/>
        <w:gridCol w:w="893"/>
        <w:gridCol w:w="7166"/>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7</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Miliczu.</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Miliczu Orientacyjna ilość dób przechowywania depozytów poniżej 3,5 tony – 600; Orientacyjna ilość dób przechowywania depozytów powyżej 3,5 tony – 500.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lastRenderedPageBreak/>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 xml:space="preserve">6) INFORMACJE </w:t>
      </w:r>
      <w:proofErr w:type="spellStart"/>
      <w:r w:rsidRPr="00E616DB">
        <w:rPr>
          <w:rFonts w:ascii="Verdana" w:eastAsia="Times New Roman" w:hAnsi="Verdana" w:cs="Times New Roman"/>
          <w:b/>
          <w:bCs/>
          <w:color w:val="000000"/>
          <w:sz w:val="20"/>
          <w:szCs w:val="20"/>
          <w:lang w:eastAsia="pl-PL"/>
        </w:rPr>
        <w:t>DODATKOWE:</w:t>
      </w:r>
      <w:r w:rsidRPr="00E616DB">
        <w:rPr>
          <w:rFonts w:ascii="Verdana" w:eastAsia="Times New Roman" w:hAnsi="Verdana" w:cs="Times New Roman"/>
          <w:color w:val="000000"/>
          <w:sz w:val="20"/>
          <w:szCs w:val="20"/>
          <w:lang w:eastAsia="pl-PL"/>
        </w:rPr>
        <w:t>Miejsce</w:t>
      </w:r>
      <w:proofErr w:type="spellEnd"/>
      <w:r w:rsidRPr="00E616DB">
        <w:rPr>
          <w:rFonts w:ascii="Verdana" w:eastAsia="Times New Roman" w:hAnsi="Verdana" w:cs="Times New Roman"/>
          <w:color w:val="000000"/>
          <w:sz w:val="20"/>
          <w:szCs w:val="20"/>
          <w:lang w:eastAsia="pl-PL"/>
        </w:rPr>
        <w:t xml:space="preserve"> wykonywania usługi: teren powiatu milickiego.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11"/>
        <w:gridCol w:w="188"/>
        <w:gridCol w:w="893"/>
        <w:gridCol w:w="7170"/>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8</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Oleśnicy.</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Oleśnicy Orientacyjna ilość dób przechowywania depozytów poniżej 3,5 tony – 360; Orientacyjna ilość dób przechowywania depozytów powyżej 3,5 tony – 40.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lastRenderedPageBreak/>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oleśnickiego.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16"/>
        <w:gridCol w:w="188"/>
        <w:gridCol w:w="893"/>
        <w:gridCol w:w="7165"/>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9</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Oławie</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Oławie Orientacyjna ilość dób przechowywania depozytów poniżej 3,5 tony – 935; Orientacyjna ilość dób przechowywania depozytów powyżej 3,5 tony – 215.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lastRenderedPageBreak/>
        <w:br/>
      </w:r>
      <w:r w:rsidRPr="00E616DB">
        <w:rPr>
          <w:rFonts w:ascii="Verdana" w:eastAsia="Times New Roman" w:hAnsi="Verdana" w:cs="Times New Roman"/>
          <w:b/>
          <w:bCs/>
          <w:color w:val="000000"/>
          <w:sz w:val="20"/>
          <w:szCs w:val="20"/>
          <w:lang w:eastAsia="pl-PL"/>
        </w:rPr>
        <w:t xml:space="preserve">6) INFORMACJE </w:t>
      </w:r>
      <w:proofErr w:type="spellStart"/>
      <w:r w:rsidRPr="00E616DB">
        <w:rPr>
          <w:rFonts w:ascii="Verdana" w:eastAsia="Times New Roman" w:hAnsi="Verdana" w:cs="Times New Roman"/>
          <w:b/>
          <w:bCs/>
          <w:color w:val="000000"/>
          <w:sz w:val="20"/>
          <w:szCs w:val="20"/>
          <w:lang w:eastAsia="pl-PL"/>
        </w:rPr>
        <w:t>DODATKOWE:</w:t>
      </w:r>
      <w:r w:rsidRPr="00E616DB">
        <w:rPr>
          <w:rFonts w:ascii="Verdana" w:eastAsia="Times New Roman" w:hAnsi="Verdana" w:cs="Times New Roman"/>
          <w:color w:val="000000"/>
          <w:sz w:val="20"/>
          <w:szCs w:val="20"/>
          <w:lang w:eastAsia="pl-PL"/>
        </w:rPr>
        <w:t>Miejsce</w:t>
      </w:r>
      <w:proofErr w:type="spellEnd"/>
      <w:r w:rsidRPr="00E616DB">
        <w:rPr>
          <w:rFonts w:ascii="Verdana" w:eastAsia="Times New Roman" w:hAnsi="Verdana" w:cs="Times New Roman"/>
          <w:color w:val="000000"/>
          <w:sz w:val="20"/>
          <w:szCs w:val="20"/>
          <w:lang w:eastAsia="pl-PL"/>
        </w:rPr>
        <w:t xml:space="preserve"> wykonywania usługi: tern powiatu oławskiego.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06"/>
        <w:gridCol w:w="315"/>
        <w:gridCol w:w="893"/>
        <w:gridCol w:w="7048"/>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Strzelinie</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Strzelinie Orientacyjna ilość dób przechowywania depozytów poniżej 3,5 tony – 200; Orientacyjna ilość dób przechowywania depozytów powyżej 3,5 tony – 40.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 xml:space="preserve">6) INFORMACJE </w:t>
      </w:r>
      <w:proofErr w:type="spellStart"/>
      <w:r w:rsidRPr="00E616DB">
        <w:rPr>
          <w:rFonts w:ascii="Verdana" w:eastAsia="Times New Roman" w:hAnsi="Verdana" w:cs="Times New Roman"/>
          <w:b/>
          <w:bCs/>
          <w:color w:val="000000"/>
          <w:sz w:val="20"/>
          <w:szCs w:val="20"/>
          <w:lang w:eastAsia="pl-PL"/>
        </w:rPr>
        <w:t>DODATKOWE:</w:t>
      </w:r>
      <w:r w:rsidRPr="00E616DB">
        <w:rPr>
          <w:rFonts w:ascii="Verdana" w:eastAsia="Times New Roman" w:hAnsi="Verdana" w:cs="Times New Roman"/>
          <w:color w:val="000000"/>
          <w:sz w:val="20"/>
          <w:szCs w:val="20"/>
          <w:lang w:eastAsia="pl-PL"/>
        </w:rPr>
        <w:t>Miejsce</w:t>
      </w:r>
      <w:proofErr w:type="spellEnd"/>
      <w:r w:rsidRPr="00E616DB">
        <w:rPr>
          <w:rFonts w:ascii="Verdana" w:eastAsia="Times New Roman" w:hAnsi="Verdana" w:cs="Times New Roman"/>
          <w:color w:val="000000"/>
          <w:sz w:val="20"/>
          <w:szCs w:val="20"/>
          <w:lang w:eastAsia="pl-PL"/>
        </w:rPr>
        <w:t xml:space="preserve"> wykonywania usługi: teren powiatu strzelińskiego.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00"/>
        <w:gridCol w:w="315"/>
        <w:gridCol w:w="893"/>
        <w:gridCol w:w="7054"/>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11</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Polkowicach.</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lastRenderedPageBreak/>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Polkowicach. Orientacyjna ilość dób przechowywania depozytów poniżej 3,5 tony – 400; Orientacyjna ilość dób przechowywania depozytów powyżej 3,5 tony – 100.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polkowickiego.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05"/>
        <w:gridCol w:w="315"/>
        <w:gridCol w:w="893"/>
        <w:gridCol w:w="7049"/>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12</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Trzebnicy.</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 xml:space="preserve">Usługi parkowania pojazdów zabezpieczonych przez Policję do celów procesowych na terenie podległym KPP w Trzebnicy Orientacyjna ilość dób przechowywania depozytów poniżej 3,5 tony – 1800; Orientacyjna ilość dób przechowywania depozytów powyżej 3,5 tony – 330. Przewidywane ilości dób </w:t>
      </w:r>
      <w:r w:rsidRPr="00E616DB">
        <w:rPr>
          <w:rFonts w:ascii="Verdana" w:eastAsia="Times New Roman" w:hAnsi="Verdana" w:cs="Times New Roman"/>
          <w:color w:val="000000"/>
          <w:sz w:val="20"/>
          <w:szCs w:val="20"/>
          <w:lang w:eastAsia="pl-PL"/>
        </w:rPr>
        <w:lastRenderedPageBreak/>
        <w:t>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trzebnickiego.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907"/>
        <w:gridCol w:w="315"/>
        <w:gridCol w:w="893"/>
        <w:gridCol w:w="7047"/>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13</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Wołowie.</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Wołowie Orientacyjna ilość dób przechowywania depozytów poniżej 3,5 tony – 50; Orientacyjna ilość dób przechowywania depozytów powyżej 3,5 tony – 30.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lastRenderedPageBreak/>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wołowskiego.</w:t>
      </w: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895"/>
        <w:gridCol w:w="315"/>
        <w:gridCol w:w="893"/>
        <w:gridCol w:w="7059"/>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Część nr:</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14</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b/>
                <w:bCs/>
                <w:sz w:val="20"/>
                <w:szCs w:val="20"/>
                <w:lang w:eastAsia="pl-PL"/>
              </w:rPr>
              <w:t>Nazwa:</w:t>
            </w:r>
          </w:p>
        </w:tc>
        <w:tc>
          <w:tcPr>
            <w:tcW w:w="0" w:type="auto"/>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Usługi parkowania pojazdów zabezpieczonych przez Policję do celów procesowych na terenie podległym KPP w Ząbkowicach Śl.</w:t>
            </w:r>
          </w:p>
        </w:tc>
      </w:tr>
    </w:tbl>
    <w:p w:rsidR="00E616DB" w:rsidRPr="00E616DB" w:rsidRDefault="00E616DB" w:rsidP="00E616DB">
      <w:pPr>
        <w:spacing w:after="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b/>
          <w:bCs/>
          <w:color w:val="000000"/>
          <w:sz w:val="20"/>
          <w:szCs w:val="20"/>
          <w:lang w:eastAsia="pl-PL"/>
        </w:rPr>
        <w:t>1) Krótki opis przedmiotu zamówienia </w:t>
      </w:r>
      <w:r w:rsidRPr="00E616DB">
        <w:rPr>
          <w:rFonts w:ascii="Verdana" w:eastAsia="Times New Roman" w:hAnsi="Verdana" w:cs="Times New Roman"/>
          <w:i/>
          <w:iCs/>
          <w:color w:val="000000"/>
          <w:sz w:val="20"/>
          <w:szCs w:val="20"/>
          <w:lang w:eastAsia="pl-PL"/>
        </w:rPr>
        <w:t>(wielkość, zakres, rodzaj i ilość dostaw, usług lub robót budowlanych lub określenie zapotrzebowania i wymagań)</w:t>
      </w:r>
      <w:r w:rsidRPr="00E616DB">
        <w:rPr>
          <w:rFonts w:ascii="Verdana" w:eastAsia="Times New Roman" w:hAnsi="Verdana" w:cs="Times New Roman"/>
          <w:b/>
          <w:bCs/>
          <w:color w:val="000000"/>
          <w:sz w:val="20"/>
          <w:szCs w:val="20"/>
          <w:lang w:eastAsia="pl-PL"/>
        </w:rPr>
        <w:t> a w przypadku partnerstwa innowacyjnego -określenie zapotrzebowania na innowacyjny produkt, usługę lub roboty budowlane: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Usługi parkowania pojazdów zabezpieczonych przez Policję do celów procesowych na terenie podległym KPP w Ząbkowicach Śl. Orientacyjna ilość dób przechowywania depozytów poniżej 3,5 tony – 150; Orientacyjna ilość dób przechowywania depozytów powyżej 3,5 tony – 30. Przewidywane ilości dób przechowywanych depozytów – poniżej i powyżej 3,5 tony są ilościami orientacyjnymi.</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2) Wspólny Słownik Zamówień(CPV): </w:t>
      </w:r>
      <w:r w:rsidRPr="00E616DB">
        <w:rPr>
          <w:rFonts w:ascii="Verdana" w:eastAsia="Times New Roman" w:hAnsi="Verdana" w:cs="Times New Roman"/>
          <w:color w:val="000000"/>
          <w:sz w:val="20"/>
          <w:szCs w:val="20"/>
          <w:lang w:eastAsia="pl-PL"/>
        </w:rPr>
        <w:t>98351100-9,</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3) Wartość części zamówienia(jeżeli zamawiający podaje informacje o wartości zamówienia):</w:t>
      </w:r>
      <w:r w:rsidRPr="00E616DB">
        <w:rPr>
          <w:rFonts w:ascii="Verdana" w:eastAsia="Times New Roman" w:hAnsi="Verdana" w:cs="Times New Roman"/>
          <w:color w:val="000000"/>
          <w:sz w:val="20"/>
          <w:szCs w:val="20"/>
          <w:lang w:eastAsia="pl-PL"/>
        </w:rPr>
        <w:br/>
        <w:t>Wartość bez VAT:</w:t>
      </w:r>
      <w:r w:rsidRPr="00E616DB">
        <w:rPr>
          <w:rFonts w:ascii="Verdana" w:eastAsia="Times New Roman" w:hAnsi="Verdana" w:cs="Times New Roman"/>
          <w:color w:val="000000"/>
          <w:sz w:val="20"/>
          <w:szCs w:val="20"/>
          <w:lang w:eastAsia="pl-PL"/>
        </w:rPr>
        <w:br/>
        <w:t>Waluta: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4) Czas trwania lub termin wykonania:</w:t>
      </w:r>
      <w:r w:rsidRPr="00E616DB">
        <w:rPr>
          <w:rFonts w:ascii="Verdana" w:eastAsia="Times New Roman" w:hAnsi="Verdana" w:cs="Times New Roman"/>
          <w:color w:val="000000"/>
          <w:sz w:val="20"/>
          <w:szCs w:val="20"/>
          <w:lang w:eastAsia="pl-PL"/>
        </w:rPr>
        <w:br/>
        <w:t>okres w miesiącach: 24</w:t>
      </w:r>
      <w:r w:rsidRPr="00E616DB">
        <w:rPr>
          <w:rFonts w:ascii="Verdana" w:eastAsia="Times New Roman" w:hAnsi="Verdana" w:cs="Times New Roman"/>
          <w:color w:val="000000"/>
          <w:sz w:val="20"/>
          <w:szCs w:val="20"/>
          <w:lang w:eastAsia="pl-PL"/>
        </w:rPr>
        <w:br/>
        <w:t>okres w dniach:</w:t>
      </w:r>
      <w:r w:rsidRPr="00E616DB">
        <w:rPr>
          <w:rFonts w:ascii="Verdana" w:eastAsia="Times New Roman" w:hAnsi="Verdana" w:cs="Times New Roman"/>
          <w:color w:val="000000"/>
          <w:sz w:val="20"/>
          <w:szCs w:val="20"/>
          <w:lang w:eastAsia="pl-PL"/>
        </w:rPr>
        <w:br/>
        <w:t>data rozpoczęcia:</w:t>
      </w:r>
      <w:r w:rsidRPr="00E616DB">
        <w:rPr>
          <w:rFonts w:ascii="Verdana" w:eastAsia="Times New Roman" w:hAnsi="Verdana" w:cs="Times New Roman"/>
          <w:color w:val="000000"/>
          <w:sz w:val="20"/>
          <w:szCs w:val="20"/>
          <w:lang w:eastAsia="pl-PL"/>
        </w:rPr>
        <w:br/>
        <w:t>data zakończenia:</w:t>
      </w: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5) Kryteria oceny ofert:</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59"/>
        <w:gridCol w:w="1043"/>
      </w:tblGrid>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lastRenderedPageBreak/>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Znaczenie</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cena oferty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60,00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elektroniczny monitoring przechowywanych na parkingu depozytów z możliwością archiwizacji zapisu powyżej 30 dni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30,00</w:t>
            </w:r>
          </w:p>
        </w:tc>
      </w:tr>
      <w:tr w:rsidR="00E616DB" w:rsidRPr="00E616DB" w:rsidTr="00E616DB">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zatrudnienie 1 osoby ochraniającej parking na podstawie umowy o pracę w wymiarze 1 etatu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sz w:val="20"/>
                <w:szCs w:val="20"/>
                <w:lang w:eastAsia="pl-PL"/>
              </w:rPr>
              <w:t>10,00</w:t>
            </w:r>
          </w:p>
        </w:tc>
      </w:tr>
    </w:tbl>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br/>
      </w:r>
      <w:r w:rsidRPr="00E616DB">
        <w:rPr>
          <w:rFonts w:ascii="Verdana" w:eastAsia="Times New Roman" w:hAnsi="Verdana" w:cs="Times New Roman"/>
          <w:b/>
          <w:bCs/>
          <w:color w:val="000000"/>
          <w:sz w:val="20"/>
          <w:szCs w:val="20"/>
          <w:lang w:eastAsia="pl-PL"/>
        </w:rPr>
        <w:t>6) INFORMACJE DODATKOWE:</w:t>
      </w:r>
      <w:r>
        <w:rPr>
          <w:rFonts w:ascii="Verdana" w:eastAsia="Times New Roman" w:hAnsi="Verdana" w:cs="Times New Roman"/>
          <w:b/>
          <w:bCs/>
          <w:color w:val="000000"/>
          <w:sz w:val="20"/>
          <w:szCs w:val="20"/>
          <w:lang w:eastAsia="pl-PL"/>
        </w:rPr>
        <w:t xml:space="preserve"> </w:t>
      </w:r>
      <w:r w:rsidRPr="00E616DB">
        <w:rPr>
          <w:rFonts w:ascii="Verdana" w:eastAsia="Times New Roman" w:hAnsi="Verdana" w:cs="Times New Roman"/>
          <w:color w:val="000000"/>
          <w:sz w:val="20"/>
          <w:szCs w:val="20"/>
          <w:lang w:eastAsia="pl-PL"/>
        </w:rPr>
        <w:t>Miejsce wykonywania usługi: teren powiatu ząbkowickiego.</w:t>
      </w:r>
      <w:r w:rsidRPr="00E616DB">
        <w:rPr>
          <w:rFonts w:ascii="Verdana" w:eastAsia="Times New Roman" w:hAnsi="Verdana" w:cs="Times New Roman"/>
          <w:color w:val="000000"/>
          <w:sz w:val="20"/>
          <w:szCs w:val="20"/>
          <w:lang w:eastAsia="pl-PL"/>
        </w:rPr>
        <w:br/>
      </w:r>
    </w:p>
    <w:p w:rsidR="00E616DB" w:rsidRPr="00E616DB" w:rsidRDefault="00E616DB" w:rsidP="00E616DB">
      <w:pPr>
        <w:spacing w:after="270" w:line="360" w:lineRule="atLeast"/>
        <w:rPr>
          <w:rFonts w:ascii="Verdana" w:eastAsia="Times New Roman" w:hAnsi="Verdana" w:cs="Times New Roman"/>
          <w:color w:val="000000"/>
          <w:sz w:val="20"/>
          <w:szCs w:val="20"/>
          <w:lang w:eastAsia="pl-PL"/>
        </w:rPr>
      </w:pPr>
    </w:p>
    <w:p w:rsidR="00E616DB" w:rsidRPr="00E616DB" w:rsidRDefault="00E616DB" w:rsidP="00E616DB">
      <w:pPr>
        <w:spacing w:after="0" w:line="240" w:lineRule="auto"/>
        <w:rPr>
          <w:rFonts w:ascii="Verdana" w:eastAsia="Times New Roman" w:hAnsi="Verdana" w:cs="Times New Roman"/>
          <w:sz w:val="20"/>
          <w:szCs w:val="20"/>
          <w:lang w:eastAsia="pl-PL"/>
        </w:rPr>
      </w:pPr>
      <w:r w:rsidRPr="00E616DB">
        <w:rPr>
          <w:rFonts w:ascii="Verdana" w:eastAsia="Times New Roman" w:hAnsi="Verdana"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tblPr>
      <w:tblGrid>
        <w:gridCol w:w="1338"/>
      </w:tblGrid>
      <w:tr w:rsidR="00E616DB" w:rsidRPr="00E616DB" w:rsidTr="00E616DB">
        <w:trPr>
          <w:tblCellSpacing w:w="15" w:type="dxa"/>
        </w:trPr>
        <w:tc>
          <w:tcPr>
            <w:tcW w:w="0" w:type="auto"/>
            <w:vAlign w:val="center"/>
            <w:hideMark/>
          </w:tcPr>
          <w:p w:rsidR="00E616DB" w:rsidRPr="00E616DB" w:rsidRDefault="00E616DB" w:rsidP="00E616DB">
            <w:pPr>
              <w:spacing w:after="0" w:line="240" w:lineRule="auto"/>
              <w:rPr>
                <w:rFonts w:ascii="Verdana" w:eastAsia="Times New Roman" w:hAnsi="Verdana" w:cs="Times New Roman"/>
                <w:color w:val="000000"/>
                <w:sz w:val="20"/>
                <w:szCs w:val="20"/>
                <w:lang w:eastAsia="pl-PL"/>
              </w:rPr>
            </w:pPr>
            <w:r w:rsidRPr="00E616DB">
              <w:rPr>
                <w:rFonts w:ascii="Verdana" w:eastAsia="Times New Roman" w:hAnsi="Verdana" w:cs="Times New Roman"/>
                <w:color w:val="000000"/>
                <w:sz w:val="20"/>
                <w:szCs w:val="20"/>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6" o:title=""/>
                </v:shape>
                <w:control r:id="rId7" w:name="DefaultOcxName" w:shapeid="_x0000_i1027"/>
              </w:object>
            </w:r>
          </w:p>
        </w:tc>
      </w:tr>
    </w:tbl>
    <w:p w:rsidR="0055769F" w:rsidRPr="00E616DB" w:rsidRDefault="0055769F">
      <w:pPr>
        <w:rPr>
          <w:rFonts w:ascii="Verdana" w:hAnsi="Verdana"/>
          <w:sz w:val="20"/>
          <w:szCs w:val="20"/>
        </w:rPr>
      </w:pPr>
    </w:p>
    <w:sectPr w:rsidR="0055769F" w:rsidRPr="00E616DB" w:rsidSect="0055769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6DB" w:rsidRDefault="00E616DB" w:rsidP="00E616DB">
      <w:pPr>
        <w:spacing w:after="0" w:line="240" w:lineRule="auto"/>
      </w:pPr>
      <w:r>
        <w:separator/>
      </w:r>
    </w:p>
  </w:endnote>
  <w:endnote w:type="continuationSeparator" w:id="0">
    <w:p w:rsidR="00E616DB" w:rsidRDefault="00E616DB" w:rsidP="00E61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7823"/>
      <w:docPartObj>
        <w:docPartGallery w:val="Page Numbers (Bottom of Page)"/>
        <w:docPartUnique/>
      </w:docPartObj>
    </w:sdtPr>
    <w:sdtContent>
      <w:p w:rsidR="00E616DB" w:rsidRDefault="00E616DB">
        <w:pPr>
          <w:pStyle w:val="Stopka"/>
          <w:jc w:val="center"/>
        </w:pPr>
        <w:fldSimple w:instr=" PAGE   \* MERGEFORMAT ">
          <w:r w:rsidR="003407D6">
            <w:rPr>
              <w:noProof/>
            </w:rPr>
            <w:t>25</w:t>
          </w:r>
        </w:fldSimple>
      </w:p>
    </w:sdtContent>
  </w:sdt>
  <w:p w:rsidR="00E616DB" w:rsidRDefault="00E616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6DB" w:rsidRDefault="00E616DB" w:rsidP="00E616DB">
      <w:pPr>
        <w:spacing w:after="0" w:line="240" w:lineRule="auto"/>
      </w:pPr>
      <w:r>
        <w:separator/>
      </w:r>
    </w:p>
  </w:footnote>
  <w:footnote w:type="continuationSeparator" w:id="0">
    <w:p w:rsidR="00E616DB" w:rsidRDefault="00E616DB" w:rsidP="00E616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616DB"/>
    <w:rsid w:val="003407D6"/>
    <w:rsid w:val="0055769F"/>
    <w:rsid w:val="00E616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6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616D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616DB"/>
  </w:style>
  <w:style w:type="paragraph" w:styleId="Stopka">
    <w:name w:val="footer"/>
    <w:basedOn w:val="Normalny"/>
    <w:link w:val="StopkaZnak"/>
    <w:uiPriority w:val="99"/>
    <w:unhideWhenUsed/>
    <w:rsid w:val="00E616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6DB"/>
  </w:style>
</w:styles>
</file>

<file path=word/webSettings.xml><?xml version="1.0" encoding="utf-8"?>
<w:webSettings xmlns:r="http://schemas.openxmlformats.org/officeDocument/2006/relationships" xmlns:w="http://schemas.openxmlformats.org/wordprocessingml/2006/main">
  <w:divs>
    <w:div w:id="1410226269">
      <w:bodyDiv w:val="1"/>
      <w:marLeft w:val="0"/>
      <w:marRight w:val="0"/>
      <w:marTop w:val="0"/>
      <w:marBottom w:val="0"/>
      <w:divBdr>
        <w:top w:val="none" w:sz="0" w:space="0" w:color="auto"/>
        <w:left w:val="none" w:sz="0" w:space="0" w:color="auto"/>
        <w:bottom w:val="none" w:sz="0" w:space="0" w:color="auto"/>
        <w:right w:val="none" w:sz="0" w:space="0" w:color="auto"/>
      </w:divBdr>
      <w:divsChild>
        <w:div w:id="1619340006">
          <w:marLeft w:val="0"/>
          <w:marRight w:val="0"/>
          <w:marTop w:val="0"/>
          <w:marBottom w:val="0"/>
          <w:divBdr>
            <w:top w:val="none" w:sz="0" w:space="0" w:color="auto"/>
            <w:left w:val="none" w:sz="0" w:space="0" w:color="auto"/>
            <w:bottom w:val="none" w:sz="0" w:space="0" w:color="auto"/>
            <w:right w:val="none" w:sz="0" w:space="0" w:color="auto"/>
          </w:divBdr>
          <w:divsChild>
            <w:div w:id="66928727">
              <w:marLeft w:val="0"/>
              <w:marRight w:val="0"/>
              <w:marTop w:val="0"/>
              <w:marBottom w:val="0"/>
              <w:divBdr>
                <w:top w:val="none" w:sz="0" w:space="0" w:color="auto"/>
                <w:left w:val="none" w:sz="0" w:space="0" w:color="auto"/>
                <w:bottom w:val="none" w:sz="0" w:space="0" w:color="auto"/>
                <w:right w:val="none" w:sz="0" w:space="0" w:color="auto"/>
              </w:divBdr>
            </w:div>
            <w:div w:id="1524515079">
              <w:marLeft w:val="0"/>
              <w:marRight w:val="0"/>
              <w:marTop w:val="0"/>
              <w:marBottom w:val="0"/>
              <w:divBdr>
                <w:top w:val="none" w:sz="0" w:space="0" w:color="auto"/>
                <w:left w:val="none" w:sz="0" w:space="0" w:color="auto"/>
                <w:bottom w:val="none" w:sz="0" w:space="0" w:color="auto"/>
                <w:right w:val="none" w:sz="0" w:space="0" w:color="auto"/>
              </w:divBdr>
            </w:div>
            <w:div w:id="1499231228">
              <w:marLeft w:val="0"/>
              <w:marRight w:val="0"/>
              <w:marTop w:val="0"/>
              <w:marBottom w:val="0"/>
              <w:divBdr>
                <w:top w:val="none" w:sz="0" w:space="0" w:color="auto"/>
                <w:left w:val="none" w:sz="0" w:space="0" w:color="auto"/>
                <w:bottom w:val="none" w:sz="0" w:space="0" w:color="auto"/>
                <w:right w:val="none" w:sz="0" w:space="0" w:color="auto"/>
              </w:divBdr>
              <w:divsChild>
                <w:div w:id="1361738282">
                  <w:marLeft w:val="0"/>
                  <w:marRight w:val="0"/>
                  <w:marTop w:val="0"/>
                  <w:marBottom w:val="0"/>
                  <w:divBdr>
                    <w:top w:val="none" w:sz="0" w:space="0" w:color="auto"/>
                    <w:left w:val="none" w:sz="0" w:space="0" w:color="auto"/>
                    <w:bottom w:val="none" w:sz="0" w:space="0" w:color="auto"/>
                    <w:right w:val="none" w:sz="0" w:space="0" w:color="auto"/>
                  </w:divBdr>
                </w:div>
              </w:divsChild>
            </w:div>
            <w:div w:id="115178439">
              <w:marLeft w:val="0"/>
              <w:marRight w:val="0"/>
              <w:marTop w:val="0"/>
              <w:marBottom w:val="0"/>
              <w:divBdr>
                <w:top w:val="none" w:sz="0" w:space="0" w:color="auto"/>
                <w:left w:val="none" w:sz="0" w:space="0" w:color="auto"/>
                <w:bottom w:val="none" w:sz="0" w:space="0" w:color="auto"/>
                <w:right w:val="none" w:sz="0" w:space="0" w:color="auto"/>
              </w:divBdr>
              <w:divsChild>
                <w:div w:id="845901468">
                  <w:marLeft w:val="0"/>
                  <w:marRight w:val="0"/>
                  <w:marTop w:val="0"/>
                  <w:marBottom w:val="0"/>
                  <w:divBdr>
                    <w:top w:val="none" w:sz="0" w:space="0" w:color="auto"/>
                    <w:left w:val="none" w:sz="0" w:space="0" w:color="auto"/>
                    <w:bottom w:val="none" w:sz="0" w:space="0" w:color="auto"/>
                    <w:right w:val="none" w:sz="0" w:space="0" w:color="auto"/>
                  </w:divBdr>
                </w:div>
              </w:divsChild>
            </w:div>
            <w:div w:id="1085538745">
              <w:marLeft w:val="0"/>
              <w:marRight w:val="0"/>
              <w:marTop w:val="0"/>
              <w:marBottom w:val="0"/>
              <w:divBdr>
                <w:top w:val="none" w:sz="0" w:space="0" w:color="auto"/>
                <w:left w:val="none" w:sz="0" w:space="0" w:color="auto"/>
                <w:bottom w:val="none" w:sz="0" w:space="0" w:color="auto"/>
                <w:right w:val="none" w:sz="0" w:space="0" w:color="auto"/>
              </w:divBdr>
              <w:divsChild>
                <w:div w:id="624890661">
                  <w:marLeft w:val="0"/>
                  <w:marRight w:val="0"/>
                  <w:marTop w:val="0"/>
                  <w:marBottom w:val="0"/>
                  <w:divBdr>
                    <w:top w:val="none" w:sz="0" w:space="0" w:color="auto"/>
                    <w:left w:val="none" w:sz="0" w:space="0" w:color="auto"/>
                    <w:bottom w:val="none" w:sz="0" w:space="0" w:color="auto"/>
                    <w:right w:val="none" w:sz="0" w:space="0" w:color="auto"/>
                  </w:divBdr>
                </w:div>
                <w:div w:id="1856385849">
                  <w:marLeft w:val="0"/>
                  <w:marRight w:val="0"/>
                  <w:marTop w:val="0"/>
                  <w:marBottom w:val="0"/>
                  <w:divBdr>
                    <w:top w:val="none" w:sz="0" w:space="0" w:color="auto"/>
                    <w:left w:val="none" w:sz="0" w:space="0" w:color="auto"/>
                    <w:bottom w:val="none" w:sz="0" w:space="0" w:color="auto"/>
                    <w:right w:val="none" w:sz="0" w:space="0" w:color="auto"/>
                  </w:divBdr>
                </w:div>
                <w:div w:id="579338311">
                  <w:marLeft w:val="0"/>
                  <w:marRight w:val="0"/>
                  <w:marTop w:val="0"/>
                  <w:marBottom w:val="0"/>
                  <w:divBdr>
                    <w:top w:val="none" w:sz="0" w:space="0" w:color="auto"/>
                    <w:left w:val="none" w:sz="0" w:space="0" w:color="auto"/>
                    <w:bottom w:val="none" w:sz="0" w:space="0" w:color="auto"/>
                    <w:right w:val="none" w:sz="0" w:space="0" w:color="auto"/>
                  </w:divBdr>
                </w:div>
                <w:div w:id="820772896">
                  <w:marLeft w:val="0"/>
                  <w:marRight w:val="0"/>
                  <w:marTop w:val="0"/>
                  <w:marBottom w:val="0"/>
                  <w:divBdr>
                    <w:top w:val="none" w:sz="0" w:space="0" w:color="auto"/>
                    <w:left w:val="none" w:sz="0" w:space="0" w:color="auto"/>
                    <w:bottom w:val="none" w:sz="0" w:space="0" w:color="auto"/>
                    <w:right w:val="none" w:sz="0" w:space="0" w:color="auto"/>
                  </w:divBdr>
                </w:div>
              </w:divsChild>
            </w:div>
            <w:div w:id="994796879">
              <w:marLeft w:val="0"/>
              <w:marRight w:val="0"/>
              <w:marTop w:val="0"/>
              <w:marBottom w:val="0"/>
              <w:divBdr>
                <w:top w:val="none" w:sz="0" w:space="0" w:color="auto"/>
                <w:left w:val="none" w:sz="0" w:space="0" w:color="auto"/>
                <w:bottom w:val="none" w:sz="0" w:space="0" w:color="auto"/>
                <w:right w:val="none" w:sz="0" w:space="0" w:color="auto"/>
              </w:divBdr>
              <w:divsChild>
                <w:div w:id="650136752">
                  <w:marLeft w:val="0"/>
                  <w:marRight w:val="0"/>
                  <w:marTop w:val="0"/>
                  <w:marBottom w:val="0"/>
                  <w:divBdr>
                    <w:top w:val="none" w:sz="0" w:space="0" w:color="auto"/>
                    <w:left w:val="none" w:sz="0" w:space="0" w:color="auto"/>
                    <w:bottom w:val="none" w:sz="0" w:space="0" w:color="auto"/>
                    <w:right w:val="none" w:sz="0" w:space="0" w:color="auto"/>
                  </w:divBdr>
                </w:div>
                <w:div w:id="189805664">
                  <w:marLeft w:val="0"/>
                  <w:marRight w:val="0"/>
                  <w:marTop w:val="0"/>
                  <w:marBottom w:val="0"/>
                  <w:divBdr>
                    <w:top w:val="none" w:sz="0" w:space="0" w:color="auto"/>
                    <w:left w:val="none" w:sz="0" w:space="0" w:color="auto"/>
                    <w:bottom w:val="none" w:sz="0" w:space="0" w:color="auto"/>
                    <w:right w:val="none" w:sz="0" w:space="0" w:color="auto"/>
                  </w:divBdr>
                </w:div>
                <w:div w:id="1753156912">
                  <w:marLeft w:val="0"/>
                  <w:marRight w:val="0"/>
                  <w:marTop w:val="0"/>
                  <w:marBottom w:val="0"/>
                  <w:divBdr>
                    <w:top w:val="none" w:sz="0" w:space="0" w:color="auto"/>
                    <w:left w:val="none" w:sz="0" w:space="0" w:color="auto"/>
                    <w:bottom w:val="none" w:sz="0" w:space="0" w:color="auto"/>
                    <w:right w:val="none" w:sz="0" w:space="0" w:color="auto"/>
                  </w:divBdr>
                </w:div>
                <w:div w:id="1971856509">
                  <w:marLeft w:val="0"/>
                  <w:marRight w:val="0"/>
                  <w:marTop w:val="0"/>
                  <w:marBottom w:val="0"/>
                  <w:divBdr>
                    <w:top w:val="none" w:sz="0" w:space="0" w:color="auto"/>
                    <w:left w:val="none" w:sz="0" w:space="0" w:color="auto"/>
                    <w:bottom w:val="none" w:sz="0" w:space="0" w:color="auto"/>
                    <w:right w:val="none" w:sz="0" w:space="0" w:color="auto"/>
                  </w:divBdr>
                </w:div>
                <w:div w:id="1736315412">
                  <w:marLeft w:val="0"/>
                  <w:marRight w:val="0"/>
                  <w:marTop w:val="0"/>
                  <w:marBottom w:val="0"/>
                  <w:divBdr>
                    <w:top w:val="none" w:sz="0" w:space="0" w:color="auto"/>
                    <w:left w:val="none" w:sz="0" w:space="0" w:color="auto"/>
                    <w:bottom w:val="none" w:sz="0" w:space="0" w:color="auto"/>
                    <w:right w:val="none" w:sz="0" w:space="0" w:color="auto"/>
                  </w:divBdr>
                </w:div>
                <w:div w:id="267087422">
                  <w:marLeft w:val="0"/>
                  <w:marRight w:val="0"/>
                  <w:marTop w:val="0"/>
                  <w:marBottom w:val="0"/>
                  <w:divBdr>
                    <w:top w:val="none" w:sz="0" w:space="0" w:color="auto"/>
                    <w:left w:val="none" w:sz="0" w:space="0" w:color="auto"/>
                    <w:bottom w:val="none" w:sz="0" w:space="0" w:color="auto"/>
                    <w:right w:val="none" w:sz="0" w:space="0" w:color="auto"/>
                  </w:divBdr>
                </w:div>
                <w:div w:id="1969967605">
                  <w:marLeft w:val="0"/>
                  <w:marRight w:val="0"/>
                  <w:marTop w:val="0"/>
                  <w:marBottom w:val="0"/>
                  <w:divBdr>
                    <w:top w:val="none" w:sz="0" w:space="0" w:color="auto"/>
                    <w:left w:val="none" w:sz="0" w:space="0" w:color="auto"/>
                    <w:bottom w:val="none" w:sz="0" w:space="0" w:color="auto"/>
                    <w:right w:val="none" w:sz="0" w:space="0" w:color="auto"/>
                  </w:divBdr>
                </w:div>
              </w:divsChild>
            </w:div>
            <w:div w:id="520780756">
              <w:marLeft w:val="0"/>
              <w:marRight w:val="0"/>
              <w:marTop w:val="0"/>
              <w:marBottom w:val="0"/>
              <w:divBdr>
                <w:top w:val="none" w:sz="0" w:space="0" w:color="auto"/>
                <w:left w:val="none" w:sz="0" w:space="0" w:color="auto"/>
                <w:bottom w:val="none" w:sz="0" w:space="0" w:color="auto"/>
                <w:right w:val="none" w:sz="0" w:space="0" w:color="auto"/>
              </w:divBdr>
              <w:divsChild>
                <w:div w:id="516121575">
                  <w:marLeft w:val="0"/>
                  <w:marRight w:val="0"/>
                  <w:marTop w:val="0"/>
                  <w:marBottom w:val="0"/>
                  <w:divBdr>
                    <w:top w:val="none" w:sz="0" w:space="0" w:color="auto"/>
                    <w:left w:val="none" w:sz="0" w:space="0" w:color="auto"/>
                    <w:bottom w:val="none" w:sz="0" w:space="0" w:color="auto"/>
                    <w:right w:val="none" w:sz="0" w:space="0" w:color="auto"/>
                  </w:divBdr>
                </w:div>
                <w:div w:id="942420709">
                  <w:marLeft w:val="0"/>
                  <w:marRight w:val="0"/>
                  <w:marTop w:val="0"/>
                  <w:marBottom w:val="0"/>
                  <w:divBdr>
                    <w:top w:val="none" w:sz="0" w:space="0" w:color="auto"/>
                    <w:left w:val="none" w:sz="0" w:space="0" w:color="auto"/>
                    <w:bottom w:val="none" w:sz="0" w:space="0" w:color="auto"/>
                    <w:right w:val="none" w:sz="0" w:space="0" w:color="auto"/>
                  </w:divBdr>
                </w:div>
              </w:divsChild>
            </w:div>
            <w:div w:id="1371347266">
              <w:marLeft w:val="0"/>
              <w:marRight w:val="0"/>
              <w:marTop w:val="0"/>
              <w:marBottom w:val="0"/>
              <w:divBdr>
                <w:top w:val="none" w:sz="0" w:space="0" w:color="auto"/>
                <w:left w:val="none" w:sz="0" w:space="0" w:color="auto"/>
                <w:bottom w:val="none" w:sz="0" w:space="0" w:color="auto"/>
                <w:right w:val="none" w:sz="0" w:space="0" w:color="auto"/>
              </w:divBdr>
              <w:divsChild>
                <w:div w:id="294719719">
                  <w:marLeft w:val="0"/>
                  <w:marRight w:val="0"/>
                  <w:marTop w:val="0"/>
                  <w:marBottom w:val="0"/>
                  <w:divBdr>
                    <w:top w:val="none" w:sz="0" w:space="0" w:color="auto"/>
                    <w:left w:val="none" w:sz="0" w:space="0" w:color="auto"/>
                    <w:bottom w:val="none" w:sz="0" w:space="0" w:color="auto"/>
                    <w:right w:val="none" w:sz="0" w:space="0" w:color="auto"/>
                  </w:divBdr>
                </w:div>
                <w:div w:id="46490724">
                  <w:marLeft w:val="0"/>
                  <w:marRight w:val="0"/>
                  <w:marTop w:val="0"/>
                  <w:marBottom w:val="0"/>
                  <w:divBdr>
                    <w:top w:val="none" w:sz="0" w:space="0" w:color="auto"/>
                    <w:left w:val="none" w:sz="0" w:space="0" w:color="auto"/>
                    <w:bottom w:val="none" w:sz="0" w:space="0" w:color="auto"/>
                    <w:right w:val="none" w:sz="0" w:space="0" w:color="auto"/>
                  </w:divBdr>
                </w:div>
                <w:div w:id="1771076322">
                  <w:marLeft w:val="0"/>
                  <w:marRight w:val="0"/>
                  <w:marTop w:val="0"/>
                  <w:marBottom w:val="0"/>
                  <w:divBdr>
                    <w:top w:val="none" w:sz="0" w:space="0" w:color="auto"/>
                    <w:left w:val="none" w:sz="0" w:space="0" w:color="auto"/>
                    <w:bottom w:val="none" w:sz="0" w:space="0" w:color="auto"/>
                    <w:right w:val="none" w:sz="0" w:space="0" w:color="auto"/>
                  </w:divBdr>
                </w:div>
                <w:div w:id="1860923952">
                  <w:marLeft w:val="0"/>
                  <w:marRight w:val="0"/>
                  <w:marTop w:val="0"/>
                  <w:marBottom w:val="0"/>
                  <w:divBdr>
                    <w:top w:val="none" w:sz="0" w:space="0" w:color="auto"/>
                    <w:left w:val="none" w:sz="0" w:space="0" w:color="auto"/>
                    <w:bottom w:val="none" w:sz="0" w:space="0" w:color="auto"/>
                    <w:right w:val="none" w:sz="0" w:space="0" w:color="auto"/>
                  </w:divBdr>
                </w:div>
                <w:div w:id="1410300159">
                  <w:marLeft w:val="0"/>
                  <w:marRight w:val="0"/>
                  <w:marTop w:val="0"/>
                  <w:marBottom w:val="0"/>
                  <w:divBdr>
                    <w:top w:val="none" w:sz="0" w:space="0" w:color="auto"/>
                    <w:left w:val="none" w:sz="0" w:space="0" w:color="auto"/>
                    <w:bottom w:val="none" w:sz="0" w:space="0" w:color="auto"/>
                    <w:right w:val="none" w:sz="0" w:space="0" w:color="auto"/>
                  </w:divBdr>
                </w:div>
                <w:div w:id="196161525">
                  <w:marLeft w:val="0"/>
                  <w:marRight w:val="0"/>
                  <w:marTop w:val="0"/>
                  <w:marBottom w:val="0"/>
                  <w:divBdr>
                    <w:top w:val="none" w:sz="0" w:space="0" w:color="auto"/>
                    <w:left w:val="none" w:sz="0" w:space="0" w:color="auto"/>
                    <w:bottom w:val="none" w:sz="0" w:space="0" w:color="auto"/>
                    <w:right w:val="none" w:sz="0" w:space="0" w:color="auto"/>
                  </w:divBdr>
                </w:div>
              </w:divsChild>
            </w:div>
            <w:div w:id="657809387">
              <w:marLeft w:val="0"/>
              <w:marRight w:val="0"/>
              <w:marTop w:val="0"/>
              <w:marBottom w:val="0"/>
              <w:divBdr>
                <w:top w:val="none" w:sz="0" w:space="0" w:color="auto"/>
                <w:left w:val="none" w:sz="0" w:space="0" w:color="auto"/>
                <w:bottom w:val="none" w:sz="0" w:space="0" w:color="auto"/>
                <w:right w:val="none" w:sz="0" w:space="0" w:color="auto"/>
              </w:divBdr>
              <w:divsChild>
                <w:div w:id="317148563">
                  <w:marLeft w:val="0"/>
                  <w:marRight w:val="0"/>
                  <w:marTop w:val="0"/>
                  <w:marBottom w:val="0"/>
                  <w:divBdr>
                    <w:top w:val="none" w:sz="0" w:space="0" w:color="auto"/>
                    <w:left w:val="none" w:sz="0" w:space="0" w:color="auto"/>
                    <w:bottom w:val="none" w:sz="0" w:space="0" w:color="auto"/>
                    <w:right w:val="none" w:sz="0" w:space="0" w:color="auto"/>
                  </w:divBdr>
                </w:div>
                <w:div w:id="523246999">
                  <w:marLeft w:val="0"/>
                  <w:marRight w:val="0"/>
                  <w:marTop w:val="0"/>
                  <w:marBottom w:val="0"/>
                  <w:divBdr>
                    <w:top w:val="none" w:sz="0" w:space="0" w:color="auto"/>
                    <w:left w:val="none" w:sz="0" w:space="0" w:color="auto"/>
                    <w:bottom w:val="none" w:sz="0" w:space="0" w:color="auto"/>
                    <w:right w:val="none" w:sz="0" w:space="0" w:color="auto"/>
                  </w:divBdr>
                </w:div>
                <w:div w:id="867647523">
                  <w:marLeft w:val="0"/>
                  <w:marRight w:val="0"/>
                  <w:marTop w:val="0"/>
                  <w:marBottom w:val="0"/>
                  <w:divBdr>
                    <w:top w:val="none" w:sz="0" w:space="0" w:color="auto"/>
                    <w:left w:val="none" w:sz="0" w:space="0" w:color="auto"/>
                    <w:bottom w:val="none" w:sz="0" w:space="0" w:color="auto"/>
                    <w:right w:val="none" w:sz="0" w:space="0" w:color="auto"/>
                  </w:divBdr>
                </w:div>
                <w:div w:id="343097034">
                  <w:marLeft w:val="0"/>
                  <w:marRight w:val="0"/>
                  <w:marTop w:val="0"/>
                  <w:marBottom w:val="0"/>
                  <w:divBdr>
                    <w:top w:val="none" w:sz="0" w:space="0" w:color="auto"/>
                    <w:left w:val="none" w:sz="0" w:space="0" w:color="auto"/>
                    <w:bottom w:val="none" w:sz="0" w:space="0" w:color="auto"/>
                    <w:right w:val="none" w:sz="0" w:space="0" w:color="auto"/>
                  </w:divBdr>
                </w:div>
                <w:div w:id="1846936479">
                  <w:marLeft w:val="0"/>
                  <w:marRight w:val="0"/>
                  <w:marTop w:val="0"/>
                  <w:marBottom w:val="0"/>
                  <w:divBdr>
                    <w:top w:val="none" w:sz="0" w:space="0" w:color="auto"/>
                    <w:left w:val="none" w:sz="0" w:space="0" w:color="auto"/>
                    <w:bottom w:val="none" w:sz="0" w:space="0" w:color="auto"/>
                    <w:right w:val="none" w:sz="0" w:space="0" w:color="auto"/>
                  </w:divBdr>
                </w:div>
                <w:div w:id="1940795077">
                  <w:marLeft w:val="0"/>
                  <w:marRight w:val="0"/>
                  <w:marTop w:val="0"/>
                  <w:marBottom w:val="0"/>
                  <w:divBdr>
                    <w:top w:val="none" w:sz="0" w:space="0" w:color="auto"/>
                    <w:left w:val="none" w:sz="0" w:space="0" w:color="auto"/>
                    <w:bottom w:val="none" w:sz="0" w:space="0" w:color="auto"/>
                    <w:right w:val="none" w:sz="0" w:space="0" w:color="auto"/>
                  </w:divBdr>
                </w:div>
                <w:div w:id="1193036635">
                  <w:marLeft w:val="0"/>
                  <w:marRight w:val="0"/>
                  <w:marTop w:val="0"/>
                  <w:marBottom w:val="0"/>
                  <w:divBdr>
                    <w:top w:val="none" w:sz="0" w:space="0" w:color="auto"/>
                    <w:left w:val="none" w:sz="0" w:space="0" w:color="auto"/>
                    <w:bottom w:val="none" w:sz="0" w:space="0" w:color="auto"/>
                    <w:right w:val="none" w:sz="0" w:space="0" w:color="auto"/>
                  </w:divBdr>
                </w:div>
                <w:div w:id="282083267">
                  <w:marLeft w:val="0"/>
                  <w:marRight w:val="0"/>
                  <w:marTop w:val="0"/>
                  <w:marBottom w:val="0"/>
                  <w:divBdr>
                    <w:top w:val="none" w:sz="0" w:space="0" w:color="auto"/>
                    <w:left w:val="none" w:sz="0" w:space="0" w:color="auto"/>
                    <w:bottom w:val="none" w:sz="0" w:space="0" w:color="auto"/>
                    <w:right w:val="none" w:sz="0" w:space="0" w:color="auto"/>
                  </w:divBdr>
                </w:div>
              </w:divsChild>
            </w:div>
            <w:div w:id="15340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8175</Words>
  <Characters>49055</Characters>
  <Application>Microsoft Office Word</Application>
  <DocSecurity>0</DocSecurity>
  <Lines>408</Lines>
  <Paragraphs>114</Paragraphs>
  <ScaleCrop>false</ScaleCrop>
  <Company/>
  <LinksUpToDate>false</LinksUpToDate>
  <CharactersWithSpaces>57116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2020-05-27T13:30:00Z</dcterms:created>
  <dcterms:modified xsi:type="dcterms:W3CDTF">2020-05-27T13:34:00Z</dcterms:modified>
</cp:coreProperties>
</file>